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CE" w:rsidRPr="002F143A" w:rsidRDefault="002F72CE" w:rsidP="002F143A"/>
    <w:p w:rsidR="00A13AD5" w:rsidRPr="002F143A" w:rsidRDefault="00A13AD5" w:rsidP="002F143A">
      <w:pPr>
        <w:rPr>
          <w:b/>
        </w:rPr>
      </w:pPr>
      <w:r w:rsidRPr="002F143A">
        <w:rPr>
          <w:b/>
        </w:rPr>
        <w:t>Section 400.11</w:t>
      </w:r>
      <w:r w:rsidR="00CD3BFF">
        <w:rPr>
          <w:b/>
        </w:rPr>
        <w:t>5</w:t>
      </w:r>
      <w:r w:rsidR="00BE6162">
        <w:rPr>
          <w:b/>
        </w:rPr>
        <w:t xml:space="preserve">  Jurisdiction to Try Certain P</w:t>
      </w:r>
      <w:r w:rsidRPr="002F143A">
        <w:rPr>
          <w:b/>
        </w:rPr>
        <w:t>ersonnel</w:t>
      </w:r>
    </w:p>
    <w:p w:rsidR="00A13AD5" w:rsidRPr="002F143A" w:rsidRDefault="00A13AD5" w:rsidP="002F143A"/>
    <w:p w:rsidR="00BE6162" w:rsidRDefault="00751FD4" w:rsidP="002F143A">
      <w:pPr>
        <w:ind w:left="1440" w:hanging="720"/>
      </w:pPr>
      <w:r>
        <w:t>a)</w:t>
      </w:r>
      <w:r>
        <w:tab/>
        <w:t>Jurisdiction Over the Person</w:t>
      </w:r>
    </w:p>
    <w:p w:rsidR="00BE6162" w:rsidRDefault="00BE6162" w:rsidP="002F143A">
      <w:pPr>
        <w:ind w:left="1440" w:hanging="720"/>
      </w:pPr>
    </w:p>
    <w:p w:rsidR="00A13AD5" w:rsidRPr="002F143A" w:rsidRDefault="00BE6162" w:rsidP="00BE6162">
      <w:pPr>
        <w:ind w:left="2160" w:hanging="720"/>
      </w:pPr>
      <w:r>
        <w:t>1)</w:t>
      </w:r>
      <w:r>
        <w:tab/>
      </w:r>
      <w:r w:rsidR="00A13AD5" w:rsidRPr="002F143A">
        <w:t>The following persons are subject to jurisdiction under the Code:</w:t>
      </w:r>
    </w:p>
    <w:p w:rsidR="00A13AD5" w:rsidRPr="002F143A" w:rsidRDefault="00A13AD5" w:rsidP="002F143A">
      <w:pPr>
        <w:ind w:left="1440" w:hanging="720"/>
      </w:pPr>
    </w:p>
    <w:p w:rsidR="00A13AD5" w:rsidRPr="002F143A" w:rsidRDefault="00BE6162" w:rsidP="00BE6162">
      <w:pPr>
        <w:ind w:left="2880" w:hanging="720"/>
      </w:pPr>
      <w:r>
        <w:t>A)</w:t>
      </w:r>
      <w:r>
        <w:tab/>
        <w:t xml:space="preserve">a member of the </w:t>
      </w:r>
      <w:r w:rsidR="00415D2F">
        <w:t>SMF</w:t>
      </w:r>
      <w:r w:rsidR="00A13AD5" w:rsidRPr="002F143A">
        <w:t xml:space="preserve"> </w:t>
      </w:r>
      <w:r w:rsidR="002F72CE" w:rsidRPr="002F143A">
        <w:t xml:space="preserve">when in State active </w:t>
      </w:r>
      <w:r w:rsidR="00A13AD5" w:rsidRPr="002F143A">
        <w:t xml:space="preserve">duty or </w:t>
      </w:r>
      <w:r>
        <w:t>OTAD,</w:t>
      </w:r>
      <w:r w:rsidR="00A13AD5" w:rsidRPr="002F143A">
        <w:t xml:space="preserve"> </w:t>
      </w:r>
      <w:r w:rsidR="00415D2F">
        <w:t xml:space="preserve">but </w:t>
      </w:r>
      <w:r w:rsidR="00A13AD5" w:rsidRPr="002F143A">
        <w:t>at no other times;</w:t>
      </w:r>
    </w:p>
    <w:p w:rsidR="00A13AD5" w:rsidRPr="002F143A" w:rsidRDefault="00A13AD5" w:rsidP="00BE6162">
      <w:pPr>
        <w:ind w:left="2880" w:hanging="720"/>
      </w:pPr>
    </w:p>
    <w:p w:rsidR="00A13AD5" w:rsidRPr="002F143A" w:rsidRDefault="00BE6162" w:rsidP="00BE6162">
      <w:pPr>
        <w:ind w:left="2880" w:hanging="720"/>
      </w:pPr>
      <w:r>
        <w:t>B</w:t>
      </w:r>
      <w:r w:rsidR="00A13AD5" w:rsidRPr="002F143A">
        <w:t>)</w:t>
      </w:r>
      <w:r w:rsidR="00A13AD5" w:rsidRPr="002F143A">
        <w:tab/>
        <w:t xml:space="preserve">a person in custody of the </w:t>
      </w:r>
      <w:r>
        <w:t>SMF</w:t>
      </w:r>
      <w:r w:rsidR="00A13AD5" w:rsidRPr="002F143A">
        <w:t xml:space="preserve"> before trial or serving a sentence imposed by a court-martial;</w:t>
      </w:r>
    </w:p>
    <w:p w:rsidR="00A13AD5" w:rsidRPr="002F143A" w:rsidRDefault="00A13AD5" w:rsidP="00BE6162">
      <w:pPr>
        <w:ind w:left="2880" w:hanging="720"/>
      </w:pPr>
    </w:p>
    <w:p w:rsidR="00A13AD5" w:rsidRPr="002F143A" w:rsidRDefault="00BE6162" w:rsidP="00BE6162">
      <w:pPr>
        <w:ind w:left="2880" w:hanging="720"/>
      </w:pPr>
      <w:r>
        <w:t>C</w:t>
      </w:r>
      <w:r w:rsidR="00A13AD5" w:rsidRPr="002F143A">
        <w:t>)</w:t>
      </w:r>
      <w:r w:rsidR="00A13AD5" w:rsidRPr="002F143A">
        <w:tab/>
        <w:t xml:space="preserve">a person who has voluntarily enlisted in the </w:t>
      </w:r>
      <w:r>
        <w:t>SMF</w:t>
      </w:r>
      <w:r w:rsidR="00A13AD5" w:rsidRPr="002F143A">
        <w:t xml:space="preserve"> and who has the capacity to understand the significance of enlisting in the </w:t>
      </w:r>
      <w:r>
        <w:t>SMF.  The</w:t>
      </w:r>
      <w:r w:rsidR="00A13AD5" w:rsidRPr="002F143A">
        <w:t xml:space="preserve"> enlistment shall be valid for purposes of jurisdiction and a change of status from civilian to member of the</w:t>
      </w:r>
      <w:r>
        <w:t xml:space="preserve"> SMF.  T</w:t>
      </w:r>
      <w:r w:rsidR="00A13AD5" w:rsidRPr="002F143A">
        <w:t>his form of jurisdiction shall be effective upon the taking of the oath of enlistment; and</w:t>
      </w:r>
    </w:p>
    <w:p w:rsidR="00A13AD5" w:rsidRPr="002F143A" w:rsidRDefault="00A13AD5" w:rsidP="00BE6162">
      <w:pPr>
        <w:ind w:left="2880" w:hanging="720"/>
      </w:pPr>
    </w:p>
    <w:p w:rsidR="00A13AD5" w:rsidRPr="002F143A" w:rsidRDefault="00BE6162" w:rsidP="00BE6162">
      <w:pPr>
        <w:ind w:left="2880" w:hanging="720"/>
      </w:pPr>
      <w:r>
        <w:t>D</w:t>
      </w:r>
      <w:r w:rsidR="00A13AD5" w:rsidRPr="002F143A">
        <w:t>)</w:t>
      </w:r>
      <w:r w:rsidR="00A13AD5" w:rsidRPr="002F143A">
        <w:tab/>
        <w:t xml:space="preserve">notwithstanding any other provision of law, a person serving in the </w:t>
      </w:r>
      <w:r>
        <w:t>SMF who:</w:t>
      </w:r>
    </w:p>
    <w:p w:rsidR="00A13AD5" w:rsidRPr="002F143A" w:rsidRDefault="00A13AD5" w:rsidP="00BE6162">
      <w:pPr>
        <w:ind w:left="2880" w:hanging="720"/>
        <w:rPr>
          <w:rFonts w:eastAsiaTheme="minorHAnsi"/>
        </w:rPr>
      </w:pPr>
    </w:p>
    <w:p w:rsidR="00A13AD5" w:rsidRPr="002F143A" w:rsidRDefault="00BE6162" w:rsidP="00BE6162">
      <w:pPr>
        <w:ind w:left="3600" w:hanging="720"/>
      </w:pPr>
      <w:r>
        <w:t>i</w:t>
      </w:r>
      <w:r w:rsidR="00A13AD5" w:rsidRPr="002F143A">
        <w:t>)</w:t>
      </w:r>
      <w:r w:rsidR="00A13AD5" w:rsidRPr="002F143A">
        <w:tab/>
        <w:t>submitted voluntarily to military authority;</w:t>
      </w:r>
    </w:p>
    <w:p w:rsidR="00A13AD5" w:rsidRPr="002F143A" w:rsidRDefault="00A13AD5" w:rsidP="00BE6162">
      <w:pPr>
        <w:ind w:left="3600" w:hanging="720"/>
      </w:pPr>
    </w:p>
    <w:p w:rsidR="00A13AD5" w:rsidRPr="002F143A" w:rsidRDefault="00BE6162" w:rsidP="00BE6162">
      <w:pPr>
        <w:ind w:left="3600" w:hanging="720"/>
      </w:pPr>
      <w:r>
        <w:t>ii</w:t>
      </w:r>
      <w:r w:rsidR="00A13AD5" w:rsidRPr="002F143A">
        <w:t>)</w:t>
      </w:r>
      <w:r w:rsidR="00A13AD5" w:rsidRPr="002F143A">
        <w:tab/>
        <w:t xml:space="preserve">met the mental competence and minimum age qualifications of </w:t>
      </w:r>
      <w:r>
        <w:t>10 USC 504 and 505</w:t>
      </w:r>
      <w:r w:rsidR="00A13AD5" w:rsidRPr="002F143A">
        <w:t xml:space="preserve"> at the time of voluntary submission to military authority;</w:t>
      </w:r>
    </w:p>
    <w:p w:rsidR="00A13AD5" w:rsidRPr="002F143A" w:rsidRDefault="00A13AD5" w:rsidP="00BE6162">
      <w:pPr>
        <w:ind w:left="3600" w:hanging="720"/>
      </w:pPr>
    </w:p>
    <w:p w:rsidR="00A13AD5" w:rsidRPr="002F143A" w:rsidRDefault="00BE6162" w:rsidP="00BE6162">
      <w:pPr>
        <w:ind w:left="3600" w:hanging="720"/>
      </w:pPr>
      <w:r>
        <w:t>iii</w:t>
      </w:r>
      <w:r w:rsidR="00A13AD5" w:rsidRPr="002F143A">
        <w:t>)</w:t>
      </w:r>
      <w:r w:rsidR="00A13AD5" w:rsidRPr="002F143A">
        <w:tab/>
        <w:t>received military pay or allowances; and</w:t>
      </w:r>
    </w:p>
    <w:p w:rsidR="00A13AD5" w:rsidRPr="002F143A" w:rsidRDefault="00A13AD5" w:rsidP="00BE6162">
      <w:pPr>
        <w:ind w:left="3600" w:hanging="720"/>
      </w:pPr>
    </w:p>
    <w:p w:rsidR="00A13AD5" w:rsidRPr="002F143A" w:rsidRDefault="00BE6162" w:rsidP="00BE6162">
      <w:pPr>
        <w:ind w:left="3600" w:hanging="720"/>
      </w:pPr>
      <w:r>
        <w:t>iv</w:t>
      </w:r>
      <w:r w:rsidR="00A13AD5" w:rsidRPr="002F143A">
        <w:t>)</w:t>
      </w:r>
      <w:r w:rsidR="00A13AD5" w:rsidRPr="002F143A">
        <w:tab/>
        <w:t>performed military duties.</w:t>
      </w:r>
    </w:p>
    <w:p w:rsidR="00A13AD5" w:rsidRPr="002F143A" w:rsidRDefault="00A13AD5" w:rsidP="00BE6162">
      <w:pPr>
        <w:ind w:left="3600" w:hanging="720"/>
      </w:pPr>
    </w:p>
    <w:p w:rsidR="00A13AD5" w:rsidRPr="002F143A" w:rsidRDefault="00BE6162" w:rsidP="002F143A">
      <w:pPr>
        <w:ind w:left="2160" w:hanging="720"/>
      </w:pPr>
      <w:r>
        <w:t>2</w:t>
      </w:r>
      <w:r w:rsidR="00A13AD5" w:rsidRPr="002F143A">
        <w:t>)</w:t>
      </w:r>
      <w:r w:rsidR="00A13AD5" w:rsidRPr="002F143A">
        <w:tab/>
        <w:t>A person remains subject to this Manual until the person</w:t>
      </w:r>
      <w:r w:rsidR="00210D21">
        <w:t>'</w:t>
      </w:r>
      <w:r w:rsidR="00A13AD5" w:rsidRPr="002F143A">
        <w:t xml:space="preserve">s active status has been terminated in accordance with </w:t>
      </w:r>
      <w:r w:rsidR="00A13AD5" w:rsidRPr="00D16C8A">
        <w:t>the law</w:t>
      </w:r>
      <w:r w:rsidR="00D16C8A">
        <w:t xml:space="preserve"> of the armed forces (10 USC) and the Military Code of Illinois [20 ILCS 1805] or the State Guard Act [20 ILCS 1815] and any of the applicable</w:t>
      </w:r>
      <w:r w:rsidR="00751FD4">
        <w:t xml:space="preserve"> </w:t>
      </w:r>
      <w:r w:rsidR="00A13AD5" w:rsidRPr="002F143A">
        <w:t xml:space="preserve">regulations </w:t>
      </w:r>
      <w:r w:rsidR="00D16C8A">
        <w:t>of</w:t>
      </w:r>
      <w:r>
        <w:t xml:space="preserve"> the</w:t>
      </w:r>
      <w:r w:rsidR="00A13AD5" w:rsidRPr="002F143A">
        <w:t xml:space="preserve"> </w:t>
      </w:r>
      <w:r w:rsidR="00A13AD5" w:rsidRPr="00D16C8A">
        <w:t>National Guard Bureau</w:t>
      </w:r>
      <w:r w:rsidR="00A13AD5" w:rsidRPr="002F143A">
        <w:t xml:space="preserve"> or of that person</w:t>
      </w:r>
      <w:r w:rsidR="00210D21">
        <w:t>'</w:t>
      </w:r>
      <w:r w:rsidR="00A13AD5" w:rsidRPr="002F143A">
        <w:t>s active component service, unless termination of status has been effectuated through the person</w:t>
      </w:r>
      <w:r w:rsidR="00210D21">
        <w:t>'</w:t>
      </w:r>
      <w:r w:rsidR="00A13AD5" w:rsidRPr="002F143A">
        <w:t xml:space="preserve">s fraudulent activity.  If a person is charged and found guilty at court-martial of fraudulently obtaining discharge, </w:t>
      </w:r>
      <w:r w:rsidR="009500D3">
        <w:t xml:space="preserve">Code </w:t>
      </w:r>
      <w:r>
        <w:t>S</w:t>
      </w:r>
      <w:r w:rsidR="00A13AD5" w:rsidRPr="002F143A">
        <w:t>ection 3 applies and the person may thereafter be charged for all offenses that were committed under the Code prior to the discharge</w:t>
      </w:r>
      <w:r>
        <w:t>,</w:t>
      </w:r>
      <w:r w:rsidR="00A13AD5" w:rsidRPr="002F143A">
        <w:t xml:space="preserve"> subject to the statute of limitations provided for in </w:t>
      </w:r>
      <w:r w:rsidR="009500D3">
        <w:t xml:space="preserve">Code </w:t>
      </w:r>
      <w:r>
        <w:t>Section</w:t>
      </w:r>
      <w:r w:rsidR="00A13AD5" w:rsidRPr="002F143A">
        <w:t xml:space="preserve"> 43. </w:t>
      </w:r>
    </w:p>
    <w:p w:rsidR="00A13AD5" w:rsidRPr="002F143A" w:rsidRDefault="00A13AD5" w:rsidP="002F143A">
      <w:pPr>
        <w:ind w:left="2160" w:hanging="720"/>
      </w:pPr>
    </w:p>
    <w:p w:rsidR="00A13AD5" w:rsidRPr="002F143A" w:rsidRDefault="00BE6162" w:rsidP="002F143A">
      <w:pPr>
        <w:ind w:left="2160" w:hanging="720"/>
      </w:pPr>
      <w:r>
        <w:lastRenderedPageBreak/>
        <w:t>3</w:t>
      </w:r>
      <w:r w:rsidR="00D3640F" w:rsidRPr="002F143A">
        <w:t>)</w:t>
      </w:r>
      <w:r w:rsidR="00A13AD5" w:rsidRPr="002F143A">
        <w:tab/>
        <w:t>The Adjutant General may, without the member</w:t>
      </w:r>
      <w:r w:rsidR="00210D21">
        <w:t>'</w:t>
      </w:r>
      <w:r w:rsidR="00A13AD5" w:rsidRPr="002F143A">
        <w:t xml:space="preserve">s consent, order a member of the </w:t>
      </w:r>
      <w:r>
        <w:t>SMF</w:t>
      </w:r>
      <w:r w:rsidR="00A13AD5" w:rsidRPr="002F143A">
        <w:t xml:space="preserve"> to St</w:t>
      </w:r>
      <w:r>
        <w:t>ate Active Duty for the purpose</w:t>
      </w:r>
      <w:r w:rsidR="00A13AD5" w:rsidRPr="002F143A">
        <w:t xml:space="preserve">s </w:t>
      </w:r>
      <w:r>
        <w:t xml:space="preserve">of </w:t>
      </w:r>
      <w:r w:rsidR="00A13AD5" w:rsidRPr="002F143A">
        <w:t xml:space="preserve">implementing any proceedings initiated under the Code. </w:t>
      </w:r>
    </w:p>
    <w:p w:rsidR="00A13AD5" w:rsidRPr="002F143A" w:rsidRDefault="00A13AD5" w:rsidP="002F143A">
      <w:pPr>
        <w:ind w:left="2160" w:hanging="720"/>
      </w:pPr>
    </w:p>
    <w:p w:rsidR="00A13AD5" w:rsidRPr="002F143A" w:rsidRDefault="00BE6162" w:rsidP="002F143A">
      <w:pPr>
        <w:ind w:left="2160" w:hanging="720"/>
      </w:pPr>
      <w:r>
        <w:t>4</w:t>
      </w:r>
      <w:r w:rsidR="00A13AD5" w:rsidRPr="002F143A">
        <w:t>)</w:t>
      </w:r>
      <w:r w:rsidR="00A13AD5" w:rsidRPr="002F143A">
        <w:tab/>
      </w:r>
      <w:r w:rsidR="00A13AD5" w:rsidRPr="008D00D0">
        <w:rPr>
          <w:i/>
        </w:rPr>
        <w:t>No person who has deserted from the</w:t>
      </w:r>
      <w:r w:rsidR="00A13AD5" w:rsidRPr="002F143A">
        <w:t xml:space="preserve"> </w:t>
      </w:r>
      <w:r>
        <w:t>SMF</w:t>
      </w:r>
      <w:r w:rsidR="00A13AD5" w:rsidRPr="002F143A">
        <w:t xml:space="preserve"> </w:t>
      </w:r>
      <w:r w:rsidR="00A13AD5" w:rsidRPr="008D00D0">
        <w:rPr>
          <w:i/>
        </w:rPr>
        <w:t xml:space="preserve">may be relieved from amenability to the jurisdiction of </w:t>
      </w:r>
      <w:r w:rsidR="00A13AD5" w:rsidRPr="00551F92">
        <w:t>the</w:t>
      </w:r>
      <w:r w:rsidR="00A13AD5" w:rsidRPr="008D00D0">
        <w:rPr>
          <w:i/>
        </w:rPr>
        <w:t xml:space="preserve"> Code by virtue of a separation from any later period of service</w:t>
      </w:r>
      <w:r w:rsidR="00A13AD5" w:rsidRPr="002F143A">
        <w:t>.</w:t>
      </w:r>
      <w:r w:rsidR="009500D3">
        <w:t xml:space="preserve"> </w:t>
      </w:r>
      <w:r w:rsidR="004A1C7B">
        <w:t>(Code Section 3(b))</w:t>
      </w:r>
    </w:p>
    <w:p w:rsidR="00A13AD5" w:rsidRPr="002F143A" w:rsidRDefault="00A13AD5" w:rsidP="002F143A">
      <w:pPr>
        <w:ind w:left="1440" w:hanging="720"/>
      </w:pPr>
    </w:p>
    <w:p w:rsidR="00A13AD5" w:rsidRPr="002F143A" w:rsidRDefault="00BE6162" w:rsidP="002F143A">
      <w:pPr>
        <w:ind w:left="1440" w:hanging="720"/>
      </w:pPr>
      <w:r>
        <w:t>b)</w:t>
      </w:r>
      <w:r>
        <w:tab/>
        <w:t>Subject Matter Jurisdiction</w:t>
      </w:r>
    </w:p>
    <w:p w:rsidR="00A13AD5" w:rsidRPr="002F143A" w:rsidRDefault="00A13AD5" w:rsidP="002F143A">
      <w:pPr>
        <w:ind w:left="1440" w:hanging="720"/>
      </w:pPr>
    </w:p>
    <w:p w:rsidR="00A13AD5" w:rsidRPr="002F143A" w:rsidRDefault="00A13AD5" w:rsidP="002F143A">
      <w:pPr>
        <w:ind w:left="2160" w:hanging="720"/>
      </w:pPr>
      <w:r w:rsidRPr="002F143A">
        <w:t>1)</w:t>
      </w:r>
      <w:r w:rsidRPr="002F143A">
        <w:tab/>
        <w:t>Military Offenses.</w:t>
      </w:r>
      <w:r w:rsidR="00B141AC">
        <w:t xml:space="preserve"> </w:t>
      </w:r>
      <w:r w:rsidRPr="002F143A">
        <w:t xml:space="preserve"> Offenses of a military nature contained in </w:t>
      </w:r>
      <w:r w:rsidR="00415D2F">
        <w:t xml:space="preserve">Code </w:t>
      </w:r>
      <w:r w:rsidR="00BE6162">
        <w:t>Section</w:t>
      </w:r>
      <w:r w:rsidRPr="002F143A">
        <w:t xml:space="preserve"> 1</w:t>
      </w:r>
      <w:r w:rsidR="004A1C7B">
        <w:t>(a)</w:t>
      </w:r>
      <w:r w:rsidRPr="002F143A">
        <w:t xml:space="preserve">(14) may be the subject of administrative measures, nonjudicial punishment, </w:t>
      </w:r>
      <w:r w:rsidR="002F143A">
        <w:t>or courts-</w:t>
      </w:r>
      <w:r w:rsidRPr="002F143A">
        <w:t>martial jurisdiction</w:t>
      </w:r>
      <w:r w:rsidR="00BE6162">
        <w:t xml:space="preserve">, </w:t>
      </w:r>
      <w:r w:rsidRPr="002F143A">
        <w:t>except as provided in sub</w:t>
      </w:r>
      <w:r w:rsidR="00BE6162">
        <w:t>section (b)</w:t>
      </w:r>
      <w:r w:rsidRPr="002F143A">
        <w:t xml:space="preserve">(2). </w:t>
      </w:r>
      <w:r w:rsidR="002F143A" w:rsidRPr="002F143A">
        <w:t xml:space="preserve"> </w:t>
      </w:r>
      <w:r w:rsidRPr="002F143A">
        <w:t xml:space="preserve">Offenses of a military nature are </w:t>
      </w:r>
      <w:r w:rsidR="00415D2F">
        <w:t>derived from the UCMJ</w:t>
      </w:r>
      <w:r w:rsidRPr="002F143A">
        <w:t xml:space="preserve"> and</w:t>
      </w:r>
      <w:r w:rsidR="00BE6162">
        <w:t>,</w:t>
      </w:r>
      <w:r w:rsidRPr="002F143A">
        <w:t xml:space="preserve"> to the extent not inconsistent with the Code</w:t>
      </w:r>
      <w:r w:rsidR="00BE6162">
        <w:t>,</w:t>
      </w:r>
      <w:r w:rsidRPr="002F143A">
        <w:t xml:space="preserve"> this Manual </w:t>
      </w:r>
      <w:r w:rsidR="00BE6162">
        <w:t>reflects</w:t>
      </w:r>
      <w:r w:rsidRPr="002F143A">
        <w:t xml:space="preserve"> each element of the offense as described in the UCMJ</w:t>
      </w:r>
      <w:r w:rsidR="009500D3">
        <w:t>,</w:t>
      </w:r>
      <w:r w:rsidRPr="002F143A">
        <w:t xml:space="preserve"> with the following clarifications:</w:t>
      </w:r>
    </w:p>
    <w:p w:rsidR="00A13AD5" w:rsidRPr="002F143A" w:rsidRDefault="00A13AD5" w:rsidP="002F143A">
      <w:pPr>
        <w:ind w:left="2160" w:hanging="720"/>
      </w:pPr>
    </w:p>
    <w:p w:rsidR="00A13AD5" w:rsidRPr="002F143A" w:rsidRDefault="00A13AD5" w:rsidP="002F143A">
      <w:pPr>
        <w:ind w:left="2880" w:hanging="720"/>
      </w:pPr>
      <w:r w:rsidRPr="002F143A">
        <w:t>A)</w:t>
      </w:r>
      <w:r w:rsidRPr="002F143A">
        <w:tab/>
        <w:t>Insofar as an element refers to the United States, the element also will refer to the State</w:t>
      </w:r>
      <w:r w:rsidR="009500D3">
        <w:t xml:space="preserve"> of Illinois</w:t>
      </w:r>
      <w:r w:rsidRPr="002F143A">
        <w:t>.</w:t>
      </w:r>
    </w:p>
    <w:p w:rsidR="00A13AD5" w:rsidRPr="002F143A" w:rsidRDefault="00A13AD5" w:rsidP="002F143A">
      <w:pPr>
        <w:ind w:left="2880" w:hanging="720"/>
      </w:pPr>
    </w:p>
    <w:p w:rsidR="00A13AD5" w:rsidRPr="002F143A" w:rsidRDefault="00A13AD5" w:rsidP="002F143A">
      <w:pPr>
        <w:ind w:left="2880" w:hanging="720"/>
      </w:pPr>
      <w:r w:rsidRPr="002F143A">
        <w:t>B)</w:t>
      </w:r>
      <w:r w:rsidRPr="002F143A">
        <w:tab/>
        <w:t>Insofar as an element refers to individuals in the service of the United</w:t>
      </w:r>
      <w:r w:rsidR="002F143A">
        <w:t xml:space="preserve"> </w:t>
      </w:r>
      <w:r w:rsidRPr="002F143A">
        <w:t xml:space="preserve">States or </w:t>
      </w:r>
      <w:r w:rsidR="009500D3">
        <w:t xml:space="preserve">federal </w:t>
      </w:r>
      <w:r w:rsidRPr="002F143A">
        <w:t xml:space="preserve">officials, the element also will include </w:t>
      </w:r>
      <w:r w:rsidR="009500D3">
        <w:t xml:space="preserve">individuals </w:t>
      </w:r>
      <w:r w:rsidRPr="002F143A">
        <w:t xml:space="preserve">in the service of the </w:t>
      </w:r>
      <w:r w:rsidR="009500D3">
        <w:t>SMF</w:t>
      </w:r>
      <w:r w:rsidRPr="002F143A">
        <w:t xml:space="preserve"> or State officials as provided Code</w:t>
      </w:r>
      <w:r w:rsidR="00D16C8A">
        <w:t xml:space="preserve"> Sections 1(a)(14) and 88</w:t>
      </w:r>
      <w:r w:rsidRPr="002F143A">
        <w:t>.</w:t>
      </w:r>
    </w:p>
    <w:p w:rsidR="00A13AD5" w:rsidRPr="002F143A" w:rsidRDefault="00A13AD5" w:rsidP="002F143A">
      <w:pPr>
        <w:ind w:left="2880" w:hanging="720"/>
      </w:pPr>
    </w:p>
    <w:p w:rsidR="00A13AD5" w:rsidRPr="002F143A" w:rsidRDefault="00A13AD5" w:rsidP="002F143A">
      <w:pPr>
        <w:ind w:left="2880" w:hanging="720"/>
      </w:pPr>
      <w:r w:rsidRPr="002F143A">
        <w:t>C)</w:t>
      </w:r>
      <w:r w:rsidRPr="002F143A">
        <w:tab/>
        <w:t>Insofar as an element refers to the property of the United States, the element also will include property of the State</w:t>
      </w:r>
      <w:r w:rsidR="009500D3">
        <w:t xml:space="preserve"> of Illinois</w:t>
      </w:r>
      <w:r w:rsidRPr="002F143A">
        <w:t>.</w:t>
      </w:r>
    </w:p>
    <w:p w:rsidR="00A13AD5" w:rsidRPr="002F143A" w:rsidRDefault="00A13AD5" w:rsidP="002F143A">
      <w:pPr>
        <w:ind w:left="2880" w:hanging="720"/>
        <w:rPr>
          <w:rFonts w:eastAsiaTheme="minorHAnsi"/>
        </w:rPr>
      </w:pPr>
    </w:p>
    <w:p w:rsidR="00A13AD5" w:rsidRPr="002F143A" w:rsidRDefault="00BE6162" w:rsidP="002F143A">
      <w:pPr>
        <w:ind w:left="2160" w:hanging="720"/>
      </w:pPr>
      <w:r>
        <w:t>2)</w:t>
      </w:r>
      <w:r>
        <w:tab/>
        <w:t>Non-military O</w:t>
      </w:r>
      <w:r w:rsidR="00A13AD5" w:rsidRPr="002F143A">
        <w:t>ffenses</w:t>
      </w:r>
    </w:p>
    <w:p w:rsidR="00A13AD5" w:rsidRPr="002F143A" w:rsidRDefault="00A13AD5" w:rsidP="002F143A">
      <w:pPr>
        <w:ind w:left="2160" w:hanging="720"/>
      </w:pPr>
    </w:p>
    <w:p w:rsidR="00A13AD5" w:rsidRPr="00D16C8A" w:rsidRDefault="00A13AD5" w:rsidP="002F143A">
      <w:pPr>
        <w:ind w:left="2880" w:hanging="720"/>
      </w:pPr>
      <w:r w:rsidRPr="002F143A">
        <w:t>A)</w:t>
      </w:r>
      <w:r w:rsidRPr="002F143A">
        <w:tab/>
      </w:r>
      <w:r w:rsidR="00D16C8A">
        <w:t xml:space="preserve">A non-military offense is an offense that </w:t>
      </w:r>
      <w:r w:rsidR="00D16C8A">
        <w:rPr>
          <w:i/>
        </w:rPr>
        <w:t xml:space="preserve">violates the Code and the criminal law of the United States, a state or a local jurisdiction. </w:t>
      </w:r>
      <w:r w:rsidR="00D16C8A">
        <w:t xml:space="preserve">(Code Section 2(b)) Non-military offenses may be disposed of by nonjudicial punishment or courts-martial, provided jurisdiction exists under the Code and this Manual. Non-military offenses may be subject to prosecution under </w:t>
      </w:r>
      <w:r w:rsidR="00976CB5">
        <w:t xml:space="preserve">U.S., state or local jurisdiction (see </w:t>
      </w:r>
      <w:r w:rsidR="00D16C8A">
        <w:t>Code Sections 133, 134 and/or 149</w:t>
      </w:r>
      <w:r w:rsidR="00976CB5">
        <w:t>)</w:t>
      </w:r>
      <w:r w:rsidR="00D16C8A">
        <w:t>.</w:t>
      </w:r>
    </w:p>
    <w:p w:rsidR="00A13AD5" w:rsidRPr="002F143A" w:rsidRDefault="00A13AD5" w:rsidP="002F143A">
      <w:pPr>
        <w:ind w:left="2880" w:hanging="720"/>
      </w:pPr>
    </w:p>
    <w:p w:rsidR="00A13AD5" w:rsidRPr="00976CB5" w:rsidRDefault="00A13AD5" w:rsidP="00976CB5">
      <w:pPr>
        <w:ind w:left="2880" w:hanging="720"/>
        <w:rPr>
          <w:i/>
        </w:rPr>
      </w:pPr>
      <w:r w:rsidRPr="002F143A">
        <w:t>B)</w:t>
      </w:r>
      <w:r w:rsidRPr="002F143A">
        <w:tab/>
      </w:r>
      <w:r w:rsidRPr="00AE0D40">
        <w:rPr>
          <w:i/>
        </w:rPr>
        <w:t xml:space="preserve">A proper civilian court has primary jurisdiction when an act or omission violates both the Code and </w:t>
      </w:r>
      <w:r w:rsidR="00976CB5">
        <w:rPr>
          <w:i/>
        </w:rPr>
        <w:t>the</w:t>
      </w:r>
      <w:r w:rsidRPr="00AE0D40">
        <w:rPr>
          <w:i/>
        </w:rPr>
        <w:t xml:space="preserve"> criminal </w:t>
      </w:r>
      <w:r w:rsidR="005712F4" w:rsidRPr="00AE0D40">
        <w:rPr>
          <w:i/>
        </w:rPr>
        <w:t>law</w:t>
      </w:r>
      <w:r w:rsidR="00D3640F" w:rsidRPr="002F143A">
        <w:t xml:space="preserve"> </w:t>
      </w:r>
      <w:r w:rsidR="00976CB5">
        <w:t>of the United States or of the state where the offense occurred</w:t>
      </w:r>
      <w:r w:rsidR="00D3640F" w:rsidRPr="002F143A">
        <w:t xml:space="preserve">.  </w:t>
      </w:r>
      <w:r w:rsidR="005712F4">
        <w:t xml:space="preserve">In such cases, </w:t>
      </w:r>
      <w:r w:rsidR="005712F4" w:rsidRPr="00AE0D40">
        <w:rPr>
          <w:i/>
        </w:rPr>
        <w:t>a S</w:t>
      </w:r>
      <w:r w:rsidRPr="00AE0D40">
        <w:rPr>
          <w:i/>
        </w:rPr>
        <w:t>tate court-martial</w:t>
      </w:r>
      <w:r w:rsidRPr="002F143A">
        <w:t xml:space="preserve"> or </w:t>
      </w:r>
      <w:r w:rsidR="009500D3">
        <w:t>NJP</w:t>
      </w:r>
      <w:r w:rsidRPr="002F143A">
        <w:t xml:space="preserve"> proceeding </w:t>
      </w:r>
      <w:r w:rsidRPr="00AE0D40">
        <w:rPr>
          <w:i/>
        </w:rPr>
        <w:t xml:space="preserve">may be initiated only after the civilian authority has declined to prosecute or </w:t>
      </w:r>
      <w:r w:rsidR="005712F4" w:rsidRPr="00AE0D40">
        <w:rPr>
          <w:i/>
        </w:rPr>
        <w:t xml:space="preserve">has </w:t>
      </w:r>
      <w:r w:rsidRPr="00AE0D40">
        <w:rPr>
          <w:i/>
        </w:rPr>
        <w:t>dismissed charges, provided jeopardy has not attached</w:t>
      </w:r>
      <w:r w:rsidRPr="002F143A">
        <w:t xml:space="preserve">, as provided in </w:t>
      </w:r>
      <w:r w:rsidR="005712F4">
        <w:t>Section 400.</w:t>
      </w:r>
      <w:r w:rsidR="00976CB5">
        <w:t>835</w:t>
      </w:r>
      <w:r w:rsidRPr="002F143A">
        <w:t xml:space="preserve">. </w:t>
      </w:r>
      <w:r w:rsidR="00AE0D40">
        <w:t>(Code Section</w:t>
      </w:r>
      <w:r w:rsidR="00976CB5">
        <w:t>s</w:t>
      </w:r>
      <w:r w:rsidR="00AE0D40">
        <w:t xml:space="preserve"> 2(b)</w:t>
      </w:r>
      <w:r w:rsidR="00976CB5">
        <w:t xml:space="preserve"> and 44</w:t>
      </w:r>
      <w:r w:rsidR="00AE0D40">
        <w:t xml:space="preserve">)  </w:t>
      </w:r>
      <w:r w:rsidRPr="002F143A">
        <w:t xml:space="preserve">However, nothing </w:t>
      </w:r>
      <w:r w:rsidRPr="002F143A">
        <w:lastRenderedPageBreak/>
        <w:t>in this Manual precludes a commander from taking administrative action even if the civilian authority exercises jurisdiction.</w:t>
      </w:r>
      <w:r w:rsidR="002F143A" w:rsidRPr="002F143A">
        <w:t xml:space="preserve"> </w:t>
      </w:r>
      <w:r w:rsidRPr="002F143A">
        <w:t>Administrative remedies shall not be considered double jeopardy.</w:t>
      </w:r>
    </w:p>
    <w:p w:rsidR="00A13AD5" w:rsidRPr="002F143A" w:rsidRDefault="00A13AD5" w:rsidP="002F143A">
      <w:pPr>
        <w:ind w:left="2880" w:hanging="720"/>
      </w:pPr>
    </w:p>
    <w:p w:rsidR="00A13AD5" w:rsidRPr="002F143A" w:rsidRDefault="00A13AD5" w:rsidP="002F143A">
      <w:pPr>
        <w:ind w:left="2880" w:hanging="720"/>
      </w:pPr>
      <w:r w:rsidRPr="002F143A">
        <w:t>C)</w:t>
      </w:r>
      <w:r w:rsidRPr="002F143A">
        <w:tab/>
      </w:r>
      <w:bookmarkStart w:id="0" w:name="_GoBack"/>
      <w:bookmarkEnd w:id="0"/>
      <w:r w:rsidRPr="002F143A">
        <w:t>A</w:t>
      </w:r>
      <w:r w:rsidR="00415D2F">
        <w:t>n SMF</w:t>
      </w:r>
      <w:r w:rsidRPr="002F143A">
        <w:t xml:space="preserve"> member who is subject to jurisdiction under the Code may be ordered to duty involuntarily for any purposes under this Manual or the Code.</w:t>
      </w:r>
    </w:p>
    <w:p w:rsidR="00A13AD5" w:rsidRPr="002F143A" w:rsidRDefault="00A13AD5" w:rsidP="002F143A">
      <w:pPr>
        <w:ind w:left="2880" w:hanging="720"/>
      </w:pPr>
    </w:p>
    <w:p w:rsidR="000174EB" w:rsidRPr="002F143A" w:rsidRDefault="00A13AD5" w:rsidP="002F143A">
      <w:pPr>
        <w:ind w:left="2880" w:hanging="720"/>
      </w:pPr>
      <w:r w:rsidRPr="002F143A">
        <w:t>D)</w:t>
      </w:r>
      <w:r w:rsidRPr="002F143A">
        <w:tab/>
        <w:t xml:space="preserve">Coordination with the Attorney General or other appropriate prosecutorial authorities is essential to ensure that judge advocates prosecute with the cooperation of the local </w:t>
      </w:r>
      <w:r w:rsidR="009500D3">
        <w:t>S</w:t>
      </w:r>
      <w:r w:rsidRPr="002F143A">
        <w:t>tate</w:t>
      </w:r>
      <w:r w:rsidR="00D53963">
        <w:t>'s</w:t>
      </w:r>
      <w:r w:rsidRPr="002F143A">
        <w:t xml:space="preserve"> </w:t>
      </w:r>
      <w:r w:rsidR="00563F58">
        <w:t>Attorney</w:t>
      </w:r>
      <w:r w:rsidRPr="002F143A">
        <w:t xml:space="preserve">. </w:t>
      </w:r>
      <w:r w:rsidR="00B141AC">
        <w:t xml:space="preserve"> </w:t>
      </w:r>
      <w:r w:rsidRPr="002F143A">
        <w:t>A commander shall refer all suspected civilian offenses to a judge advocate who shall coordinate with the proper authorities when appropriate.</w:t>
      </w:r>
    </w:p>
    <w:sectPr w:rsidR="000174EB" w:rsidRPr="002F14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D5" w:rsidRDefault="00A13AD5">
      <w:r>
        <w:separator/>
      </w:r>
    </w:p>
  </w:endnote>
  <w:endnote w:type="continuationSeparator" w:id="0">
    <w:p w:rsidR="00A13AD5" w:rsidRDefault="00A1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D5" w:rsidRDefault="00A13AD5">
      <w:r>
        <w:separator/>
      </w:r>
    </w:p>
  </w:footnote>
  <w:footnote w:type="continuationSeparator" w:id="0">
    <w:p w:rsidR="00A13AD5" w:rsidRDefault="00A1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F6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D2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43A"/>
    <w:rsid w:val="002F41A1"/>
    <w:rsid w:val="002F53C4"/>
    <w:rsid w:val="002F56C3"/>
    <w:rsid w:val="002F5988"/>
    <w:rsid w:val="002F5C58"/>
    <w:rsid w:val="002F72CE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D2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C7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F92"/>
    <w:rsid w:val="00552D2A"/>
    <w:rsid w:val="00553C83"/>
    <w:rsid w:val="0056157E"/>
    <w:rsid w:val="0056373E"/>
    <w:rsid w:val="00563F58"/>
    <w:rsid w:val="0056501E"/>
    <w:rsid w:val="005712F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9B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FD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0D0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0D3"/>
    <w:rsid w:val="00950386"/>
    <w:rsid w:val="009602D3"/>
    <w:rsid w:val="00960C37"/>
    <w:rsid w:val="00961E38"/>
    <w:rsid w:val="00965A76"/>
    <w:rsid w:val="00966D51"/>
    <w:rsid w:val="00976CB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AD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D4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1A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16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BFF"/>
    <w:rsid w:val="00CD5413"/>
    <w:rsid w:val="00CE01BF"/>
    <w:rsid w:val="00CE4292"/>
    <w:rsid w:val="00CE6CBE"/>
    <w:rsid w:val="00CF0FC7"/>
    <w:rsid w:val="00D03A79"/>
    <w:rsid w:val="00D0676C"/>
    <w:rsid w:val="00D10D50"/>
    <w:rsid w:val="00D16C8A"/>
    <w:rsid w:val="00D17DC3"/>
    <w:rsid w:val="00D2155A"/>
    <w:rsid w:val="00D27015"/>
    <w:rsid w:val="00D2776C"/>
    <w:rsid w:val="00D27E4E"/>
    <w:rsid w:val="00D32AA7"/>
    <w:rsid w:val="00D337D2"/>
    <w:rsid w:val="00D33832"/>
    <w:rsid w:val="00D3640F"/>
    <w:rsid w:val="00D453EE"/>
    <w:rsid w:val="00D46468"/>
    <w:rsid w:val="00D5396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AAEC6-B0CF-4DF1-BEBD-6992673C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764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20</cp:revision>
  <dcterms:created xsi:type="dcterms:W3CDTF">2017-01-30T20:47:00Z</dcterms:created>
  <dcterms:modified xsi:type="dcterms:W3CDTF">2017-05-05T20:55:00Z</dcterms:modified>
</cp:coreProperties>
</file>