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77" w:rsidRDefault="00175877" w:rsidP="00175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877" w:rsidRDefault="00175877" w:rsidP="001758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116.260  Audit Procedures</w:t>
      </w:r>
      <w:r>
        <w:t xml:space="preserve"> </w:t>
      </w:r>
    </w:p>
    <w:p w:rsidR="00175877" w:rsidRDefault="00175877" w:rsidP="00175877">
      <w:pPr>
        <w:widowControl w:val="0"/>
        <w:autoSpaceDE w:val="0"/>
        <w:autoSpaceDN w:val="0"/>
        <w:adjustRightInd w:val="0"/>
      </w:pPr>
    </w:p>
    <w:p w:rsidR="00175877" w:rsidRDefault="00175877" w:rsidP="00175877">
      <w:pPr>
        <w:widowControl w:val="0"/>
        <w:autoSpaceDE w:val="0"/>
        <w:autoSpaceDN w:val="0"/>
        <w:adjustRightInd w:val="0"/>
      </w:pPr>
      <w:r>
        <w:t xml:space="preserve">The Department shall establish and conduct audits of records maintained and claims made by the institution for reimbursement. </w:t>
      </w:r>
    </w:p>
    <w:sectPr w:rsidR="00175877" w:rsidSect="00175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877"/>
    <w:rsid w:val="00175877"/>
    <w:rsid w:val="004E620A"/>
    <w:rsid w:val="006F07F1"/>
    <w:rsid w:val="009D4449"/>
    <w:rsid w:val="00B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