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59" w:rsidRDefault="003E0F59" w:rsidP="003E0F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0F59" w:rsidRDefault="003E0F59" w:rsidP="003E0F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109.110  Permanent Burial Records</w:t>
      </w:r>
      <w:r>
        <w:t xml:space="preserve"> </w:t>
      </w:r>
    </w:p>
    <w:p w:rsidR="003E0F59" w:rsidRDefault="003E0F59" w:rsidP="003E0F59">
      <w:pPr>
        <w:widowControl w:val="0"/>
        <w:autoSpaceDE w:val="0"/>
        <w:autoSpaceDN w:val="0"/>
        <w:adjustRightInd w:val="0"/>
      </w:pPr>
    </w:p>
    <w:p w:rsidR="003E0F59" w:rsidRDefault="003E0F59" w:rsidP="003E0F59">
      <w:pPr>
        <w:widowControl w:val="0"/>
        <w:autoSpaceDE w:val="0"/>
        <w:autoSpaceDN w:val="0"/>
        <w:adjustRightInd w:val="0"/>
      </w:pPr>
      <w:r>
        <w:t xml:space="preserve">The Administrator shall assure that permanent burial records be maintained in accordance with State and local laws for all interments in a Home cemetery and kept in the Adjutant's Office. </w:t>
      </w:r>
    </w:p>
    <w:p w:rsidR="003E0F59" w:rsidRDefault="003E0F59" w:rsidP="003E0F59">
      <w:pPr>
        <w:widowControl w:val="0"/>
        <w:autoSpaceDE w:val="0"/>
        <w:autoSpaceDN w:val="0"/>
        <w:adjustRightInd w:val="0"/>
      </w:pPr>
    </w:p>
    <w:p w:rsidR="003E0F59" w:rsidRDefault="003E0F59" w:rsidP="003E0F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5967, effective April 17, 2001) </w:t>
      </w:r>
    </w:p>
    <w:sectPr w:rsidR="003E0F59" w:rsidSect="003E0F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F59"/>
    <w:rsid w:val="003E0F59"/>
    <w:rsid w:val="004E620A"/>
    <w:rsid w:val="00852478"/>
    <w:rsid w:val="00BB4B7C"/>
    <w:rsid w:val="00E1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109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109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