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F71" w:rsidRDefault="008B4F71" w:rsidP="008B4F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4F71" w:rsidRDefault="008B4F71" w:rsidP="008B4F71">
      <w:pPr>
        <w:widowControl w:val="0"/>
        <w:autoSpaceDE w:val="0"/>
        <w:autoSpaceDN w:val="0"/>
        <w:adjustRightInd w:val="0"/>
      </w:pPr>
      <w:r>
        <w:t xml:space="preserve">SOURCE:  Filed and effective December 15, 1977; codified at 6 Ill. Reg. 8442; amended at 12 Ill. Reg. 3785, effective January 26, 1988; amended at 25 Ill. Reg. 5967, effective April 17, 2001. </w:t>
      </w:r>
    </w:p>
    <w:sectPr w:rsidR="008B4F71" w:rsidSect="008B4F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4F71"/>
    <w:rsid w:val="004E620A"/>
    <w:rsid w:val="005A54A7"/>
    <w:rsid w:val="00707B48"/>
    <w:rsid w:val="008B4F71"/>
    <w:rsid w:val="00A73A32"/>
    <w:rsid w:val="00EF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December 15, 1977; codified at 6 Ill</vt:lpstr>
    </vt:vector>
  </TitlesOfParts>
  <Company>State Of Illinois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December 15, 1977; codified at 6 Ill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