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4D" w:rsidRDefault="00AC5B4D" w:rsidP="00AC5B4D">
      <w:pPr>
        <w:widowControl w:val="0"/>
        <w:autoSpaceDE w:val="0"/>
        <w:autoSpaceDN w:val="0"/>
        <w:adjustRightInd w:val="0"/>
      </w:pPr>
      <w:bookmarkStart w:id="0" w:name="_GoBack"/>
      <w:bookmarkEnd w:id="0"/>
    </w:p>
    <w:p w:rsidR="00AC5B4D" w:rsidRDefault="00AC5B4D" w:rsidP="00AC5B4D">
      <w:pPr>
        <w:widowControl w:val="0"/>
        <w:autoSpaceDE w:val="0"/>
        <w:autoSpaceDN w:val="0"/>
        <w:adjustRightInd w:val="0"/>
      </w:pPr>
      <w:r>
        <w:rPr>
          <w:b/>
          <w:bCs/>
        </w:rPr>
        <w:t>Section 104.120  Beneficiary Payments</w:t>
      </w:r>
      <w:r>
        <w:t xml:space="preserve"> </w:t>
      </w:r>
    </w:p>
    <w:p w:rsidR="00AC5B4D" w:rsidRDefault="00AC5B4D" w:rsidP="00AC5B4D">
      <w:pPr>
        <w:widowControl w:val="0"/>
        <w:autoSpaceDE w:val="0"/>
        <w:autoSpaceDN w:val="0"/>
        <w:adjustRightInd w:val="0"/>
      </w:pPr>
    </w:p>
    <w:p w:rsidR="00AC5B4D" w:rsidRDefault="00AC5B4D" w:rsidP="00AC5B4D">
      <w:pPr>
        <w:widowControl w:val="0"/>
        <w:autoSpaceDE w:val="0"/>
        <w:autoSpaceDN w:val="0"/>
        <w:adjustRightInd w:val="0"/>
      </w:pPr>
      <w:r>
        <w:t xml:space="preserve">Payment of the sum of $1,000 will be made to the widow or widower, child or children, mother, father, person standing in loco parentis, brothers and sisters, in the order named, of any deceased person with a service-connected death that would be entitled under Section 2 of the Act, if living. </w:t>
      </w:r>
    </w:p>
    <w:sectPr w:rsidR="00AC5B4D" w:rsidSect="00AC5B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B4D"/>
    <w:rsid w:val="00194DD0"/>
    <w:rsid w:val="0030656A"/>
    <w:rsid w:val="00374E14"/>
    <w:rsid w:val="004E620A"/>
    <w:rsid w:val="00AC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