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6A528" w14:textId="77777777" w:rsidR="000E3C11" w:rsidRDefault="000E3C11" w:rsidP="000E3C11">
      <w:pPr>
        <w:widowControl w:val="0"/>
        <w:autoSpaceDE w:val="0"/>
        <w:autoSpaceDN w:val="0"/>
        <w:adjustRightInd w:val="0"/>
      </w:pPr>
    </w:p>
    <w:p w14:paraId="367AD895" w14:textId="7AB2BAFB" w:rsidR="000E3C11" w:rsidRDefault="000E3C11" w:rsidP="000E3C11">
      <w:pPr>
        <w:widowControl w:val="0"/>
        <w:autoSpaceDE w:val="0"/>
        <w:autoSpaceDN w:val="0"/>
        <w:adjustRightInd w:val="0"/>
      </w:pPr>
      <w:r>
        <w:rPr>
          <w:b/>
          <w:bCs/>
        </w:rPr>
        <w:t xml:space="preserve">Section </w:t>
      </w:r>
      <w:r w:rsidR="0072799C">
        <w:rPr>
          <w:b/>
          <w:bCs/>
        </w:rPr>
        <w:t>3040</w:t>
      </w:r>
      <w:r>
        <w:rPr>
          <w:b/>
          <w:bCs/>
        </w:rPr>
        <w:t>.1000  Incorporation by Reference of 49 CFR 171</w:t>
      </w:r>
      <w:r>
        <w:t xml:space="preserve"> </w:t>
      </w:r>
    </w:p>
    <w:p w14:paraId="21D398EF" w14:textId="77777777" w:rsidR="000E3C11" w:rsidRDefault="000E3C11" w:rsidP="000E3C11">
      <w:pPr>
        <w:widowControl w:val="0"/>
        <w:autoSpaceDE w:val="0"/>
        <w:autoSpaceDN w:val="0"/>
        <w:adjustRightInd w:val="0"/>
      </w:pPr>
    </w:p>
    <w:p w14:paraId="4D9EC345" w14:textId="77777777" w:rsidR="000E3C11" w:rsidRDefault="000E3C11" w:rsidP="000E3C11">
      <w:pPr>
        <w:widowControl w:val="0"/>
        <w:autoSpaceDE w:val="0"/>
        <w:autoSpaceDN w:val="0"/>
        <w:adjustRightInd w:val="0"/>
        <w:ind w:left="1440" w:hanging="720"/>
      </w:pPr>
      <w:r>
        <w:t>a)</w:t>
      </w:r>
      <w:r>
        <w:tab/>
        <w:t xml:space="preserve">As Part 171 of the Illinois Hazardous Materials Transportation Regulations, the Department incorporates the following sections of 49 CFR 171 by reference, as those sections of the federal hazardous materials transportation regulations were in effect on October 1, </w:t>
      </w:r>
      <w:r w:rsidR="00D84A17">
        <w:t>201</w:t>
      </w:r>
      <w:r w:rsidR="00A55700">
        <w:t>7</w:t>
      </w:r>
      <w:r w:rsidR="00FE6C4D">
        <w:t>,</w:t>
      </w:r>
      <w:r w:rsidR="00EF4746">
        <w:t xml:space="preserve"> </w:t>
      </w:r>
      <w:r>
        <w:t xml:space="preserve">subject only to the exceptions in subsection (b) of this Section.  No later amendments to or editions of those sections of 49 CFR 171 are incorporated. </w:t>
      </w:r>
    </w:p>
    <w:p w14:paraId="5EB5FB9E" w14:textId="77777777" w:rsidR="000E3C11" w:rsidRDefault="000E3C11" w:rsidP="006F05A2">
      <w:pPr>
        <w:widowControl w:val="0"/>
        <w:autoSpaceDE w:val="0"/>
        <w:autoSpaceDN w:val="0"/>
        <w:adjustRightInd w:val="0"/>
      </w:pPr>
    </w:p>
    <w:tbl>
      <w:tblPr>
        <w:tblW w:w="0" w:type="auto"/>
        <w:tblInd w:w="1533" w:type="dxa"/>
        <w:tblLook w:val="0000" w:firstRow="0" w:lastRow="0" w:firstColumn="0" w:lastColumn="0" w:noHBand="0" w:noVBand="0"/>
      </w:tblPr>
      <w:tblGrid>
        <w:gridCol w:w="1368"/>
        <w:gridCol w:w="6675"/>
      </w:tblGrid>
      <w:tr w:rsidR="00FE6C4D" w14:paraId="2D3D41E1" w14:textId="77777777">
        <w:trPr>
          <w:trHeight w:val="675"/>
        </w:trPr>
        <w:tc>
          <w:tcPr>
            <w:tcW w:w="1368" w:type="dxa"/>
          </w:tcPr>
          <w:p w14:paraId="0682B62B" w14:textId="77777777" w:rsidR="00FE6C4D" w:rsidRDefault="00FE6C4D" w:rsidP="000E3C11">
            <w:pPr>
              <w:widowControl w:val="0"/>
              <w:autoSpaceDE w:val="0"/>
              <w:autoSpaceDN w:val="0"/>
              <w:adjustRightInd w:val="0"/>
            </w:pPr>
            <w:r>
              <w:t>171.1</w:t>
            </w:r>
          </w:p>
        </w:tc>
        <w:tc>
          <w:tcPr>
            <w:tcW w:w="6675" w:type="dxa"/>
          </w:tcPr>
          <w:p w14:paraId="5F9333F6" w14:textId="77777777" w:rsidR="00FE6C4D" w:rsidRDefault="00FE6C4D" w:rsidP="000E3C11">
            <w:pPr>
              <w:widowControl w:val="0"/>
              <w:autoSpaceDE w:val="0"/>
              <w:autoSpaceDN w:val="0"/>
              <w:adjustRightInd w:val="0"/>
            </w:pPr>
            <w:r>
              <w:t>Applicability of Hazardous Materials Regulations (HMR) to persons and functions</w:t>
            </w:r>
          </w:p>
        </w:tc>
      </w:tr>
      <w:tr w:rsidR="00FE6C4D" w14:paraId="74433491" w14:textId="77777777">
        <w:trPr>
          <w:trHeight w:val="432"/>
        </w:trPr>
        <w:tc>
          <w:tcPr>
            <w:tcW w:w="1368" w:type="dxa"/>
          </w:tcPr>
          <w:p w14:paraId="22152297" w14:textId="77777777" w:rsidR="00FE6C4D" w:rsidRDefault="00FE6C4D" w:rsidP="000E3C11">
            <w:pPr>
              <w:widowControl w:val="0"/>
              <w:autoSpaceDE w:val="0"/>
              <w:autoSpaceDN w:val="0"/>
              <w:adjustRightInd w:val="0"/>
            </w:pPr>
            <w:r>
              <w:t>171.2</w:t>
            </w:r>
          </w:p>
        </w:tc>
        <w:tc>
          <w:tcPr>
            <w:tcW w:w="6675" w:type="dxa"/>
          </w:tcPr>
          <w:p w14:paraId="1FDCCA22" w14:textId="77777777" w:rsidR="00FE6C4D" w:rsidRDefault="00FE6C4D" w:rsidP="000E3C11">
            <w:pPr>
              <w:widowControl w:val="0"/>
              <w:autoSpaceDE w:val="0"/>
              <w:autoSpaceDN w:val="0"/>
              <w:adjustRightInd w:val="0"/>
            </w:pPr>
            <w:r>
              <w:t>General Requirements</w:t>
            </w:r>
          </w:p>
        </w:tc>
      </w:tr>
      <w:tr w:rsidR="00D84A17" w14:paraId="75DAF2FD" w14:textId="77777777">
        <w:trPr>
          <w:trHeight w:val="432"/>
        </w:trPr>
        <w:tc>
          <w:tcPr>
            <w:tcW w:w="1368" w:type="dxa"/>
          </w:tcPr>
          <w:p w14:paraId="5144A40C" w14:textId="77777777" w:rsidR="00D84A17" w:rsidRDefault="00D84A17" w:rsidP="000E3C11">
            <w:pPr>
              <w:widowControl w:val="0"/>
              <w:autoSpaceDE w:val="0"/>
              <w:autoSpaceDN w:val="0"/>
              <w:adjustRightInd w:val="0"/>
            </w:pPr>
            <w:r>
              <w:t>171.3</w:t>
            </w:r>
          </w:p>
        </w:tc>
        <w:tc>
          <w:tcPr>
            <w:tcW w:w="6675" w:type="dxa"/>
          </w:tcPr>
          <w:p w14:paraId="5156467C" w14:textId="77777777" w:rsidR="00D84A17" w:rsidRDefault="00D84A17" w:rsidP="000E3C11">
            <w:pPr>
              <w:widowControl w:val="0"/>
              <w:autoSpaceDE w:val="0"/>
              <w:autoSpaceDN w:val="0"/>
              <w:adjustRightInd w:val="0"/>
            </w:pPr>
            <w:r>
              <w:t>Hazardous Waste</w:t>
            </w:r>
          </w:p>
        </w:tc>
      </w:tr>
      <w:tr w:rsidR="00142928" w14:paraId="20112FCC" w14:textId="77777777">
        <w:trPr>
          <w:trHeight w:val="432"/>
        </w:trPr>
        <w:tc>
          <w:tcPr>
            <w:tcW w:w="1368" w:type="dxa"/>
          </w:tcPr>
          <w:p w14:paraId="6BA8BBFC" w14:textId="77777777" w:rsidR="00142928" w:rsidRDefault="00142928" w:rsidP="000E3C11">
            <w:pPr>
              <w:widowControl w:val="0"/>
              <w:autoSpaceDE w:val="0"/>
              <w:autoSpaceDN w:val="0"/>
              <w:adjustRightInd w:val="0"/>
            </w:pPr>
            <w:r>
              <w:t>171.4</w:t>
            </w:r>
          </w:p>
        </w:tc>
        <w:tc>
          <w:tcPr>
            <w:tcW w:w="6675" w:type="dxa"/>
          </w:tcPr>
          <w:p w14:paraId="434097ED" w14:textId="77777777" w:rsidR="00142928" w:rsidRDefault="00142928" w:rsidP="000E3C11">
            <w:pPr>
              <w:widowControl w:val="0"/>
              <w:autoSpaceDE w:val="0"/>
              <w:autoSpaceDN w:val="0"/>
              <w:adjustRightInd w:val="0"/>
            </w:pPr>
            <w:r>
              <w:t>Marine Pollutants</w:t>
            </w:r>
          </w:p>
        </w:tc>
      </w:tr>
      <w:tr w:rsidR="00142928" w14:paraId="06709F8E" w14:textId="77777777">
        <w:trPr>
          <w:trHeight w:val="432"/>
        </w:trPr>
        <w:tc>
          <w:tcPr>
            <w:tcW w:w="1368" w:type="dxa"/>
          </w:tcPr>
          <w:p w14:paraId="4E6370A3" w14:textId="77777777" w:rsidR="00142928" w:rsidRDefault="00142928" w:rsidP="000E3C11">
            <w:pPr>
              <w:widowControl w:val="0"/>
              <w:autoSpaceDE w:val="0"/>
              <w:autoSpaceDN w:val="0"/>
              <w:adjustRightInd w:val="0"/>
            </w:pPr>
            <w:r>
              <w:t>171.7</w:t>
            </w:r>
          </w:p>
        </w:tc>
        <w:tc>
          <w:tcPr>
            <w:tcW w:w="6675" w:type="dxa"/>
          </w:tcPr>
          <w:p w14:paraId="57E4FAA6" w14:textId="77777777" w:rsidR="00142928" w:rsidRDefault="00142928" w:rsidP="000E3C11">
            <w:pPr>
              <w:widowControl w:val="0"/>
              <w:autoSpaceDE w:val="0"/>
              <w:autoSpaceDN w:val="0"/>
              <w:adjustRightInd w:val="0"/>
            </w:pPr>
            <w:r>
              <w:t>Reference Material</w:t>
            </w:r>
          </w:p>
        </w:tc>
      </w:tr>
      <w:tr w:rsidR="00142928" w14:paraId="789104D6" w14:textId="77777777">
        <w:trPr>
          <w:trHeight w:val="432"/>
        </w:trPr>
        <w:tc>
          <w:tcPr>
            <w:tcW w:w="1368" w:type="dxa"/>
          </w:tcPr>
          <w:p w14:paraId="29A5B79F" w14:textId="77777777" w:rsidR="00142928" w:rsidRDefault="00142928" w:rsidP="000E3C11">
            <w:pPr>
              <w:widowControl w:val="0"/>
              <w:autoSpaceDE w:val="0"/>
              <w:autoSpaceDN w:val="0"/>
              <w:adjustRightInd w:val="0"/>
            </w:pPr>
            <w:r>
              <w:t>171.8</w:t>
            </w:r>
          </w:p>
        </w:tc>
        <w:tc>
          <w:tcPr>
            <w:tcW w:w="6675" w:type="dxa"/>
          </w:tcPr>
          <w:p w14:paraId="5582089B" w14:textId="77777777" w:rsidR="00142928" w:rsidRDefault="00142928" w:rsidP="000E3C11">
            <w:pPr>
              <w:widowControl w:val="0"/>
              <w:autoSpaceDE w:val="0"/>
              <w:autoSpaceDN w:val="0"/>
              <w:adjustRightInd w:val="0"/>
            </w:pPr>
            <w:r>
              <w:t>Definitions and Abbreviations</w:t>
            </w:r>
          </w:p>
        </w:tc>
      </w:tr>
      <w:tr w:rsidR="00142928" w14:paraId="0FEBEFAF" w14:textId="77777777">
        <w:trPr>
          <w:trHeight w:val="432"/>
        </w:trPr>
        <w:tc>
          <w:tcPr>
            <w:tcW w:w="1368" w:type="dxa"/>
          </w:tcPr>
          <w:p w14:paraId="6E738079" w14:textId="77777777" w:rsidR="00142928" w:rsidRDefault="00142928" w:rsidP="000E3C11">
            <w:pPr>
              <w:widowControl w:val="0"/>
              <w:autoSpaceDE w:val="0"/>
              <w:autoSpaceDN w:val="0"/>
              <w:adjustRightInd w:val="0"/>
            </w:pPr>
            <w:r>
              <w:t>171.9</w:t>
            </w:r>
          </w:p>
        </w:tc>
        <w:tc>
          <w:tcPr>
            <w:tcW w:w="6675" w:type="dxa"/>
          </w:tcPr>
          <w:p w14:paraId="6014902D" w14:textId="77777777" w:rsidR="00142928" w:rsidRDefault="00142928" w:rsidP="000E3C11">
            <w:pPr>
              <w:widowControl w:val="0"/>
              <w:autoSpaceDE w:val="0"/>
              <w:autoSpaceDN w:val="0"/>
              <w:adjustRightInd w:val="0"/>
            </w:pPr>
            <w:r>
              <w:t>Rules of Construction</w:t>
            </w:r>
          </w:p>
        </w:tc>
      </w:tr>
      <w:tr w:rsidR="00142928" w14:paraId="5C8D98D0" w14:textId="77777777">
        <w:trPr>
          <w:trHeight w:val="432"/>
        </w:trPr>
        <w:tc>
          <w:tcPr>
            <w:tcW w:w="1368" w:type="dxa"/>
          </w:tcPr>
          <w:p w14:paraId="6956BE2D" w14:textId="77777777" w:rsidR="00142928" w:rsidRDefault="00142928" w:rsidP="008C7EF0">
            <w:pPr>
              <w:widowControl w:val="0"/>
              <w:autoSpaceDE w:val="0"/>
              <w:autoSpaceDN w:val="0"/>
              <w:adjustRightInd w:val="0"/>
            </w:pPr>
            <w:r>
              <w:t>171.10</w:t>
            </w:r>
          </w:p>
        </w:tc>
        <w:tc>
          <w:tcPr>
            <w:tcW w:w="6675" w:type="dxa"/>
          </w:tcPr>
          <w:p w14:paraId="3FCAA7A1" w14:textId="77777777" w:rsidR="00142928" w:rsidRDefault="00142928" w:rsidP="000E3C11">
            <w:pPr>
              <w:widowControl w:val="0"/>
              <w:autoSpaceDE w:val="0"/>
              <w:autoSpaceDN w:val="0"/>
              <w:adjustRightInd w:val="0"/>
            </w:pPr>
            <w:r>
              <w:t>Units of Measure</w:t>
            </w:r>
          </w:p>
        </w:tc>
      </w:tr>
      <w:tr w:rsidR="00142928" w14:paraId="5B8EC461" w14:textId="77777777">
        <w:trPr>
          <w:trHeight w:val="432"/>
        </w:trPr>
        <w:tc>
          <w:tcPr>
            <w:tcW w:w="1368" w:type="dxa"/>
          </w:tcPr>
          <w:p w14:paraId="3F2C4EC9" w14:textId="77777777" w:rsidR="00142928" w:rsidRDefault="00142928" w:rsidP="008C7EF0">
            <w:pPr>
              <w:widowControl w:val="0"/>
              <w:autoSpaceDE w:val="0"/>
              <w:autoSpaceDN w:val="0"/>
              <w:adjustRightInd w:val="0"/>
            </w:pPr>
            <w:r>
              <w:t>171.12</w:t>
            </w:r>
          </w:p>
        </w:tc>
        <w:tc>
          <w:tcPr>
            <w:tcW w:w="6675" w:type="dxa"/>
          </w:tcPr>
          <w:p w14:paraId="21D74C17" w14:textId="77777777" w:rsidR="00142928" w:rsidRDefault="00142928" w:rsidP="000E3C11">
            <w:pPr>
              <w:widowControl w:val="0"/>
              <w:autoSpaceDE w:val="0"/>
              <w:autoSpaceDN w:val="0"/>
              <w:adjustRightInd w:val="0"/>
            </w:pPr>
            <w:r>
              <w:t>Import and Export Shipments</w:t>
            </w:r>
          </w:p>
        </w:tc>
      </w:tr>
      <w:tr w:rsidR="005E07BE" w14:paraId="561713A7" w14:textId="77777777">
        <w:trPr>
          <w:trHeight w:val="432"/>
        </w:trPr>
        <w:tc>
          <w:tcPr>
            <w:tcW w:w="1368" w:type="dxa"/>
          </w:tcPr>
          <w:p w14:paraId="0F1095A8" w14:textId="77777777" w:rsidR="005E07BE" w:rsidRDefault="005E07BE" w:rsidP="008C7EF0">
            <w:pPr>
              <w:widowControl w:val="0"/>
              <w:autoSpaceDE w:val="0"/>
              <w:autoSpaceDN w:val="0"/>
              <w:adjustRightInd w:val="0"/>
            </w:pPr>
            <w:r>
              <w:t>171.15</w:t>
            </w:r>
          </w:p>
        </w:tc>
        <w:tc>
          <w:tcPr>
            <w:tcW w:w="6675" w:type="dxa"/>
          </w:tcPr>
          <w:p w14:paraId="0A4A0E66" w14:textId="77777777" w:rsidR="005E07BE" w:rsidRDefault="005E07BE" w:rsidP="000E3C11">
            <w:pPr>
              <w:widowControl w:val="0"/>
              <w:autoSpaceDE w:val="0"/>
              <w:autoSpaceDN w:val="0"/>
              <w:adjustRightInd w:val="0"/>
            </w:pPr>
            <w:r>
              <w:t>Immediate Notice of Certain Hazardous Materials Incidents</w:t>
            </w:r>
          </w:p>
        </w:tc>
      </w:tr>
      <w:tr w:rsidR="005E07BE" w14:paraId="62AB8B4C" w14:textId="77777777">
        <w:trPr>
          <w:trHeight w:val="432"/>
        </w:trPr>
        <w:tc>
          <w:tcPr>
            <w:tcW w:w="1368" w:type="dxa"/>
          </w:tcPr>
          <w:p w14:paraId="4E59DB23" w14:textId="77777777" w:rsidR="005E07BE" w:rsidRDefault="005E07BE" w:rsidP="008C7EF0">
            <w:pPr>
              <w:widowControl w:val="0"/>
              <w:autoSpaceDE w:val="0"/>
              <w:autoSpaceDN w:val="0"/>
              <w:adjustRightInd w:val="0"/>
            </w:pPr>
            <w:r>
              <w:t>171.16</w:t>
            </w:r>
          </w:p>
        </w:tc>
        <w:tc>
          <w:tcPr>
            <w:tcW w:w="6675" w:type="dxa"/>
          </w:tcPr>
          <w:p w14:paraId="6838B603" w14:textId="77777777" w:rsidR="005E07BE" w:rsidRDefault="005E07BE" w:rsidP="000E3C11">
            <w:pPr>
              <w:widowControl w:val="0"/>
              <w:autoSpaceDE w:val="0"/>
              <w:autoSpaceDN w:val="0"/>
              <w:adjustRightInd w:val="0"/>
            </w:pPr>
            <w:r>
              <w:t>Detailed Hazardous Materials Incident Reports</w:t>
            </w:r>
          </w:p>
        </w:tc>
      </w:tr>
      <w:tr w:rsidR="00142928" w14:paraId="0A0199D9" w14:textId="77777777">
        <w:trPr>
          <w:trHeight w:val="432"/>
        </w:trPr>
        <w:tc>
          <w:tcPr>
            <w:tcW w:w="1368" w:type="dxa"/>
          </w:tcPr>
          <w:p w14:paraId="6A0BC643" w14:textId="77777777" w:rsidR="00142928" w:rsidRDefault="00142928" w:rsidP="008C7EF0">
            <w:pPr>
              <w:widowControl w:val="0"/>
              <w:autoSpaceDE w:val="0"/>
              <w:autoSpaceDN w:val="0"/>
              <w:adjustRightInd w:val="0"/>
            </w:pPr>
            <w:r>
              <w:t>171.19</w:t>
            </w:r>
          </w:p>
        </w:tc>
        <w:tc>
          <w:tcPr>
            <w:tcW w:w="6675" w:type="dxa"/>
          </w:tcPr>
          <w:p w14:paraId="60C1E881" w14:textId="77777777" w:rsidR="00142928" w:rsidRDefault="00142928" w:rsidP="000E3C11">
            <w:pPr>
              <w:widowControl w:val="0"/>
              <w:autoSpaceDE w:val="0"/>
              <w:autoSpaceDN w:val="0"/>
              <w:adjustRightInd w:val="0"/>
            </w:pPr>
            <w:r>
              <w:t>Approvals or Authorizations Issued by the Bureau of Explosives</w:t>
            </w:r>
          </w:p>
        </w:tc>
      </w:tr>
      <w:tr w:rsidR="00142928" w14:paraId="7E1C1C5C" w14:textId="77777777" w:rsidTr="00D84A17">
        <w:trPr>
          <w:trHeight w:val="423"/>
        </w:trPr>
        <w:tc>
          <w:tcPr>
            <w:tcW w:w="1368" w:type="dxa"/>
          </w:tcPr>
          <w:p w14:paraId="7A77CC68" w14:textId="77777777" w:rsidR="00142928" w:rsidRDefault="00142928" w:rsidP="008C7EF0">
            <w:pPr>
              <w:widowControl w:val="0"/>
              <w:autoSpaceDE w:val="0"/>
              <w:autoSpaceDN w:val="0"/>
              <w:adjustRightInd w:val="0"/>
            </w:pPr>
            <w:r>
              <w:t>171.20</w:t>
            </w:r>
          </w:p>
        </w:tc>
        <w:tc>
          <w:tcPr>
            <w:tcW w:w="6675" w:type="dxa"/>
          </w:tcPr>
          <w:p w14:paraId="60E9A2EC" w14:textId="77777777" w:rsidR="00142928" w:rsidRDefault="00142928" w:rsidP="000E3C11">
            <w:pPr>
              <w:widowControl w:val="0"/>
              <w:autoSpaceDE w:val="0"/>
              <w:autoSpaceDN w:val="0"/>
              <w:adjustRightInd w:val="0"/>
            </w:pPr>
            <w:r>
              <w:t>Submission of Examination Reports</w:t>
            </w:r>
          </w:p>
        </w:tc>
      </w:tr>
      <w:tr w:rsidR="00D84A17" w14:paraId="75904868" w14:textId="77777777" w:rsidTr="00D84A17">
        <w:trPr>
          <w:trHeight w:val="540"/>
        </w:trPr>
        <w:tc>
          <w:tcPr>
            <w:tcW w:w="1368" w:type="dxa"/>
          </w:tcPr>
          <w:p w14:paraId="1778F374" w14:textId="77777777" w:rsidR="00D84A17" w:rsidRDefault="00D84A17" w:rsidP="008C7EF0">
            <w:pPr>
              <w:widowControl w:val="0"/>
              <w:autoSpaceDE w:val="0"/>
              <w:autoSpaceDN w:val="0"/>
              <w:adjustRightInd w:val="0"/>
            </w:pPr>
            <w:r>
              <w:t>171.21</w:t>
            </w:r>
          </w:p>
        </w:tc>
        <w:tc>
          <w:tcPr>
            <w:tcW w:w="6675" w:type="dxa"/>
          </w:tcPr>
          <w:p w14:paraId="162070B3" w14:textId="77777777" w:rsidR="00D84A17" w:rsidRDefault="00D84A17" w:rsidP="000E3C11">
            <w:pPr>
              <w:widowControl w:val="0"/>
              <w:autoSpaceDE w:val="0"/>
              <w:autoSpaceDN w:val="0"/>
              <w:adjustRightInd w:val="0"/>
            </w:pPr>
            <w:r>
              <w:t>Assistance in Investigations and Special Studies</w:t>
            </w:r>
          </w:p>
        </w:tc>
      </w:tr>
      <w:tr w:rsidR="00D84A17" w14:paraId="5927D473" w14:textId="77777777" w:rsidTr="00D84A17">
        <w:trPr>
          <w:trHeight w:val="747"/>
        </w:trPr>
        <w:tc>
          <w:tcPr>
            <w:tcW w:w="1368" w:type="dxa"/>
          </w:tcPr>
          <w:p w14:paraId="3B36C5A0" w14:textId="77777777" w:rsidR="00D84A17" w:rsidRDefault="00D84A17" w:rsidP="008C7EF0">
            <w:pPr>
              <w:widowControl w:val="0"/>
              <w:autoSpaceDE w:val="0"/>
              <w:autoSpaceDN w:val="0"/>
              <w:adjustRightInd w:val="0"/>
            </w:pPr>
            <w:r>
              <w:t>171.22</w:t>
            </w:r>
          </w:p>
        </w:tc>
        <w:tc>
          <w:tcPr>
            <w:tcW w:w="6675" w:type="dxa"/>
          </w:tcPr>
          <w:p w14:paraId="3F48711A" w14:textId="77777777" w:rsidR="00D84A17" w:rsidRDefault="00D84A17" w:rsidP="000E3C11">
            <w:pPr>
              <w:widowControl w:val="0"/>
              <w:autoSpaceDE w:val="0"/>
              <w:autoSpaceDN w:val="0"/>
              <w:adjustRightInd w:val="0"/>
            </w:pPr>
            <w:r>
              <w:t>Authorization and Condition for the Use of International Standards and Regulations</w:t>
            </w:r>
          </w:p>
        </w:tc>
      </w:tr>
      <w:tr w:rsidR="00D84A17" w14:paraId="451F2884" w14:textId="77777777" w:rsidTr="00D84A17">
        <w:trPr>
          <w:trHeight w:val="1008"/>
        </w:trPr>
        <w:tc>
          <w:tcPr>
            <w:tcW w:w="1368" w:type="dxa"/>
          </w:tcPr>
          <w:p w14:paraId="680E3018" w14:textId="77777777" w:rsidR="00D84A17" w:rsidRDefault="00D84A17" w:rsidP="008C7EF0">
            <w:pPr>
              <w:widowControl w:val="0"/>
              <w:autoSpaceDE w:val="0"/>
              <w:autoSpaceDN w:val="0"/>
              <w:adjustRightInd w:val="0"/>
            </w:pPr>
            <w:r>
              <w:t>171.23</w:t>
            </w:r>
          </w:p>
        </w:tc>
        <w:tc>
          <w:tcPr>
            <w:tcW w:w="6675" w:type="dxa"/>
          </w:tcPr>
          <w:p w14:paraId="0357ED47" w14:textId="77777777" w:rsidR="00D84A17" w:rsidRDefault="00D84A17" w:rsidP="000E3C11">
            <w:pPr>
              <w:widowControl w:val="0"/>
              <w:autoSpaceDE w:val="0"/>
              <w:autoSpaceDN w:val="0"/>
              <w:adjustRightInd w:val="0"/>
            </w:pPr>
            <w:r>
              <w:t>Requirements for Specific Materials and Packagings Transported Under the ICAO Technical Instructions, IMDG Code, Transport Canada TDG Regulations, or the IAEA Regulations</w:t>
            </w:r>
          </w:p>
          <w:p w14:paraId="5F366720" w14:textId="77777777" w:rsidR="00B122CB" w:rsidRDefault="00B122CB" w:rsidP="000E3C11">
            <w:pPr>
              <w:widowControl w:val="0"/>
              <w:autoSpaceDE w:val="0"/>
              <w:autoSpaceDN w:val="0"/>
              <w:adjustRightInd w:val="0"/>
            </w:pPr>
          </w:p>
        </w:tc>
      </w:tr>
      <w:tr w:rsidR="00D84A17" w14:paraId="3D6B1703" w14:textId="77777777" w:rsidTr="00D84A17">
        <w:trPr>
          <w:trHeight w:val="738"/>
        </w:trPr>
        <w:tc>
          <w:tcPr>
            <w:tcW w:w="1368" w:type="dxa"/>
          </w:tcPr>
          <w:p w14:paraId="57622D63" w14:textId="77777777" w:rsidR="00D84A17" w:rsidRDefault="00D84A17" w:rsidP="008C7EF0">
            <w:pPr>
              <w:widowControl w:val="0"/>
              <w:autoSpaceDE w:val="0"/>
              <w:autoSpaceDN w:val="0"/>
              <w:adjustRightInd w:val="0"/>
            </w:pPr>
            <w:r>
              <w:t>171.24</w:t>
            </w:r>
          </w:p>
        </w:tc>
        <w:tc>
          <w:tcPr>
            <w:tcW w:w="6675" w:type="dxa"/>
          </w:tcPr>
          <w:p w14:paraId="6C741C35" w14:textId="77777777" w:rsidR="00D84A17" w:rsidRDefault="00D84A17" w:rsidP="000E3C11">
            <w:pPr>
              <w:widowControl w:val="0"/>
              <w:autoSpaceDE w:val="0"/>
              <w:autoSpaceDN w:val="0"/>
              <w:adjustRightInd w:val="0"/>
            </w:pPr>
            <w:r>
              <w:t>Additional Requirements for the Use of ICAO Technical Instructions</w:t>
            </w:r>
          </w:p>
        </w:tc>
      </w:tr>
      <w:tr w:rsidR="00D84A17" w14:paraId="4E5AAF56" w14:textId="77777777" w:rsidTr="00D84A17">
        <w:trPr>
          <w:trHeight w:val="423"/>
        </w:trPr>
        <w:tc>
          <w:tcPr>
            <w:tcW w:w="1368" w:type="dxa"/>
          </w:tcPr>
          <w:p w14:paraId="505EAE5F" w14:textId="77777777" w:rsidR="00D84A17" w:rsidRDefault="00D84A17" w:rsidP="008C7EF0">
            <w:pPr>
              <w:widowControl w:val="0"/>
              <w:autoSpaceDE w:val="0"/>
              <w:autoSpaceDN w:val="0"/>
              <w:adjustRightInd w:val="0"/>
            </w:pPr>
            <w:r>
              <w:t>171.25</w:t>
            </w:r>
          </w:p>
        </w:tc>
        <w:tc>
          <w:tcPr>
            <w:tcW w:w="6675" w:type="dxa"/>
          </w:tcPr>
          <w:p w14:paraId="5B545C02" w14:textId="77777777" w:rsidR="00D84A17" w:rsidRDefault="00D84A17" w:rsidP="000E3C11">
            <w:pPr>
              <w:widowControl w:val="0"/>
              <w:autoSpaceDE w:val="0"/>
              <w:autoSpaceDN w:val="0"/>
              <w:adjustRightInd w:val="0"/>
            </w:pPr>
            <w:r>
              <w:t>Additional Requirements for the Use of the IMDG Code</w:t>
            </w:r>
          </w:p>
        </w:tc>
      </w:tr>
      <w:tr w:rsidR="00D84A17" w14:paraId="2C6EAE4C" w14:textId="77777777" w:rsidTr="00D84A17">
        <w:trPr>
          <w:trHeight w:val="297"/>
        </w:trPr>
        <w:tc>
          <w:tcPr>
            <w:tcW w:w="1368" w:type="dxa"/>
          </w:tcPr>
          <w:p w14:paraId="080564B1" w14:textId="77777777" w:rsidR="00D84A17" w:rsidRDefault="00D84A17" w:rsidP="008C7EF0">
            <w:pPr>
              <w:widowControl w:val="0"/>
              <w:autoSpaceDE w:val="0"/>
              <w:autoSpaceDN w:val="0"/>
              <w:adjustRightInd w:val="0"/>
            </w:pPr>
            <w:r>
              <w:t>171.26</w:t>
            </w:r>
          </w:p>
        </w:tc>
        <w:tc>
          <w:tcPr>
            <w:tcW w:w="6675" w:type="dxa"/>
          </w:tcPr>
          <w:p w14:paraId="51F483BC" w14:textId="77777777" w:rsidR="00D84A17" w:rsidRDefault="00D84A17" w:rsidP="000E3C11">
            <w:pPr>
              <w:widowControl w:val="0"/>
              <w:autoSpaceDE w:val="0"/>
              <w:autoSpaceDN w:val="0"/>
              <w:adjustRightInd w:val="0"/>
            </w:pPr>
            <w:r>
              <w:t>Additional Requirements for the Use of the IAEA Regulations</w:t>
            </w:r>
          </w:p>
        </w:tc>
      </w:tr>
    </w:tbl>
    <w:p w14:paraId="2D215BC6" w14:textId="77777777" w:rsidR="00142928" w:rsidRDefault="00142928" w:rsidP="006F05A2">
      <w:pPr>
        <w:widowControl w:val="0"/>
        <w:autoSpaceDE w:val="0"/>
        <w:autoSpaceDN w:val="0"/>
        <w:adjustRightInd w:val="0"/>
      </w:pPr>
    </w:p>
    <w:p w14:paraId="73CA7D50" w14:textId="77777777" w:rsidR="000E3C11" w:rsidRDefault="000E3C11" w:rsidP="000E3C11">
      <w:pPr>
        <w:widowControl w:val="0"/>
        <w:autoSpaceDE w:val="0"/>
        <w:autoSpaceDN w:val="0"/>
        <w:adjustRightInd w:val="0"/>
        <w:ind w:left="1440" w:hanging="720"/>
      </w:pPr>
      <w:r>
        <w:lastRenderedPageBreak/>
        <w:t>b)</w:t>
      </w:r>
      <w:r>
        <w:tab/>
        <w:t>The following interpretations of, additions to</w:t>
      </w:r>
      <w:r w:rsidR="00D95D47">
        <w:t>,</w:t>
      </w:r>
      <w:r>
        <w:t xml:space="preserve"> and deletions from the above incorporated sections of 49 CFR 171 shall apply for purposes of this Part. </w:t>
      </w:r>
    </w:p>
    <w:p w14:paraId="3A3663B8" w14:textId="77777777" w:rsidR="00CB1E63" w:rsidRDefault="00CB1E63" w:rsidP="006F05A2">
      <w:pPr>
        <w:widowControl w:val="0"/>
        <w:autoSpaceDE w:val="0"/>
        <w:autoSpaceDN w:val="0"/>
        <w:adjustRightInd w:val="0"/>
      </w:pPr>
    </w:p>
    <w:p w14:paraId="539C54D9" w14:textId="77777777" w:rsidR="000E3C11" w:rsidRDefault="000E3C11" w:rsidP="000E3C11">
      <w:pPr>
        <w:widowControl w:val="0"/>
        <w:autoSpaceDE w:val="0"/>
        <w:autoSpaceDN w:val="0"/>
        <w:adjustRightInd w:val="0"/>
        <w:ind w:left="2160" w:hanging="720"/>
      </w:pPr>
      <w:r>
        <w:t>1)</w:t>
      </w:r>
      <w:r>
        <w:tab/>
        <w:t xml:space="preserve">All references to "this part" in the incorporated federal regulations shall mean </w:t>
      </w:r>
      <w:r w:rsidR="00B122CB">
        <w:t xml:space="preserve">this </w:t>
      </w:r>
      <w:r>
        <w:t xml:space="preserve">Part 171 of the Illinois Hazardous Materials Transportation Regulations. </w:t>
      </w:r>
    </w:p>
    <w:p w14:paraId="2F6FDBDB" w14:textId="77777777" w:rsidR="00CB1E63" w:rsidRDefault="00CB1E63" w:rsidP="006F05A2">
      <w:pPr>
        <w:widowControl w:val="0"/>
        <w:autoSpaceDE w:val="0"/>
        <w:autoSpaceDN w:val="0"/>
        <w:adjustRightInd w:val="0"/>
      </w:pPr>
    </w:p>
    <w:p w14:paraId="71521DEC" w14:textId="77777777" w:rsidR="000E3C11" w:rsidRDefault="000E3C11" w:rsidP="000E3C11">
      <w:pPr>
        <w:widowControl w:val="0"/>
        <w:autoSpaceDE w:val="0"/>
        <w:autoSpaceDN w:val="0"/>
        <w:adjustRightInd w:val="0"/>
        <w:ind w:left="2160" w:hanging="720"/>
      </w:pPr>
      <w:r>
        <w:t>2)</w:t>
      </w:r>
      <w:r>
        <w:tab/>
        <w:t xml:space="preserve">All references to "this chapter" or "this subchapter" in the incorporated federal regulations shall mean 92 Ill. Adm. Code:  Chapter I, Subchapter c. </w:t>
      </w:r>
    </w:p>
    <w:p w14:paraId="7652DDDE" w14:textId="77777777" w:rsidR="00CB1E63" w:rsidRDefault="00CB1E63" w:rsidP="006F05A2">
      <w:pPr>
        <w:widowControl w:val="0"/>
        <w:autoSpaceDE w:val="0"/>
        <w:autoSpaceDN w:val="0"/>
        <w:adjustRightInd w:val="0"/>
      </w:pPr>
    </w:p>
    <w:p w14:paraId="641686A8" w14:textId="77777777" w:rsidR="000E3C11" w:rsidRDefault="000E3C11" w:rsidP="000E3C11">
      <w:pPr>
        <w:widowControl w:val="0"/>
        <w:autoSpaceDE w:val="0"/>
        <w:autoSpaceDN w:val="0"/>
        <w:adjustRightInd w:val="0"/>
        <w:ind w:left="2160" w:hanging="720"/>
      </w:pPr>
      <w:r>
        <w:t>3)</w:t>
      </w:r>
      <w:r>
        <w:tab/>
        <w:t xml:space="preserve">All references to a section of the regulations in the incorporated federal regulations shall be read to refer to that Section in the Illinois Hazardous Materials Transportation Regulations. </w:t>
      </w:r>
    </w:p>
    <w:p w14:paraId="4F38C25B" w14:textId="77777777" w:rsidR="00CB1E63" w:rsidRDefault="00CB1E63" w:rsidP="006F05A2">
      <w:pPr>
        <w:widowControl w:val="0"/>
        <w:autoSpaceDE w:val="0"/>
        <w:autoSpaceDN w:val="0"/>
        <w:adjustRightInd w:val="0"/>
      </w:pPr>
    </w:p>
    <w:p w14:paraId="4F850967" w14:textId="77777777" w:rsidR="000E3C11" w:rsidRDefault="000E3C11" w:rsidP="000E3C11">
      <w:pPr>
        <w:widowControl w:val="0"/>
        <w:autoSpaceDE w:val="0"/>
        <w:autoSpaceDN w:val="0"/>
        <w:adjustRightInd w:val="0"/>
        <w:ind w:left="2160" w:hanging="720"/>
      </w:pPr>
      <w:r>
        <w:t>4)</w:t>
      </w:r>
      <w:r>
        <w:tab/>
        <w:t xml:space="preserve">All references to part </w:t>
      </w:r>
      <w:r w:rsidR="00FE6C4D">
        <w:t>174, 175</w:t>
      </w:r>
      <w:r w:rsidR="00D84A17">
        <w:t>,</w:t>
      </w:r>
      <w:r w:rsidR="00FE6C4D">
        <w:t xml:space="preserve"> or 176</w:t>
      </w:r>
      <w:r w:rsidR="00D84A17">
        <w:t>,</w:t>
      </w:r>
      <w:r>
        <w:t xml:space="preserve"> or to sections </w:t>
      </w:r>
      <w:r w:rsidR="00B122CB">
        <w:t>in those parts</w:t>
      </w:r>
      <w:r w:rsidR="00D84A17">
        <w:t>,</w:t>
      </w:r>
      <w:r>
        <w:t xml:space="preserve"> shall be read to refer to that part or sections in the federal regulations. </w:t>
      </w:r>
    </w:p>
    <w:p w14:paraId="3DC6A749" w14:textId="77777777" w:rsidR="00CB1E63" w:rsidRDefault="00CB1E63" w:rsidP="006F05A2">
      <w:pPr>
        <w:widowControl w:val="0"/>
        <w:autoSpaceDE w:val="0"/>
        <w:autoSpaceDN w:val="0"/>
        <w:adjustRightInd w:val="0"/>
      </w:pPr>
    </w:p>
    <w:p w14:paraId="090C6075" w14:textId="77777777" w:rsidR="000E3C11" w:rsidRDefault="000E3C11" w:rsidP="000E3C11">
      <w:pPr>
        <w:widowControl w:val="0"/>
        <w:autoSpaceDE w:val="0"/>
        <w:autoSpaceDN w:val="0"/>
        <w:adjustRightInd w:val="0"/>
        <w:ind w:left="2160" w:hanging="720"/>
      </w:pPr>
      <w:r>
        <w:t>5)</w:t>
      </w:r>
      <w:r>
        <w:tab/>
        <w:t>All references to shipments of hazardous materials by air, water</w:t>
      </w:r>
      <w:r w:rsidR="00D84A17">
        <w:t>,</w:t>
      </w:r>
      <w:r>
        <w:t xml:space="preserve"> and rail are incorporated for reference purposes only for those persons contemplating intermodal movements of hazardous materials. </w:t>
      </w:r>
    </w:p>
    <w:p w14:paraId="3ADD202D" w14:textId="77777777" w:rsidR="00CB1E63" w:rsidRDefault="00CB1E63" w:rsidP="006F05A2">
      <w:pPr>
        <w:widowControl w:val="0"/>
        <w:autoSpaceDE w:val="0"/>
        <w:autoSpaceDN w:val="0"/>
        <w:adjustRightInd w:val="0"/>
      </w:pPr>
    </w:p>
    <w:p w14:paraId="5028369D" w14:textId="77777777" w:rsidR="000E3C11" w:rsidRDefault="000E3C11" w:rsidP="000E3C11">
      <w:pPr>
        <w:widowControl w:val="0"/>
        <w:autoSpaceDE w:val="0"/>
        <w:autoSpaceDN w:val="0"/>
        <w:adjustRightInd w:val="0"/>
        <w:ind w:left="2160" w:hanging="720"/>
      </w:pPr>
      <w:r>
        <w:t>6)</w:t>
      </w:r>
      <w:r>
        <w:tab/>
        <w:t>All references to "these regulations</w:t>
      </w:r>
      <w:r w:rsidRPr="00FE6C4D">
        <w:t>"</w:t>
      </w:r>
      <w:r w:rsidR="00FE6C4D">
        <w:t xml:space="preserve"> </w:t>
      </w:r>
      <w:r w:rsidR="00FE6C4D" w:rsidRPr="00FE6C4D">
        <w:t>or the Hazardous Materials</w:t>
      </w:r>
      <w:r w:rsidR="00FE6C4D" w:rsidRPr="00FE6C4D">
        <w:rPr>
          <w:u w:val="single"/>
        </w:rPr>
        <w:t xml:space="preserve"> </w:t>
      </w:r>
      <w:r w:rsidR="00FE6C4D" w:rsidRPr="00FE6C4D">
        <w:t>Regulations (HMR) in the incorporated federal regulations shall be read to</w:t>
      </w:r>
      <w:r w:rsidR="00FE6C4D" w:rsidRPr="00FE6C4D">
        <w:rPr>
          <w:u w:val="single"/>
        </w:rPr>
        <w:t xml:space="preserve"> </w:t>
      </w:r>
      <w:r w:rsidR="00FE6C4D" w:rsidRPr="00FE6C4D">
        <w:t>refer</w:t>
      </w:r>
      <w:r w:rsidR="00FE6C4D" w:rsidRPr="00C15F40">
        <w:t xml:space="preserve"> to the Illinois Hazardous Materials Transportation Regulations.</w:t>
      </w:r>
      <w:r w:rsidRPr="00C15F40">
        <w:t xml:space="preserve"> </w:t>
      </w:r>
    </w:p>
    <w:p w14:paraId="31C3FDD4" w14:textId="77777777" w:rsidR="00CB1E63" w:rsidRDefault="00CB1E63" w:rsidP="006F05A2">
      <w:pPr>
        <w:widowControl w:val="0"/>
        <w:autoSpaceDE w:val="0"/>
        <w:autoSpaceDN w:val="0"/>
        <w:adjustRightInd w:val="0"/>
      </w:pPr>
    </w:p>
    <w:p w14:paraId="46ED6ADB" w14:textId="77777777" w:rsidR="000E3C11" w:rsidRDefault="000E3C11" w:rsidP="000E3C11">
      <w:pPr>
        <w:widowControl w:val="0"/>
        <w:autoSpaceDE w:val="0"/>
        <w:autoSpaceDN w:val="0"/>
        <w:adjustRightInd w:val="0"/>
        <w:ind w:left="2160" w:hanging="720"/>
      </w:pPr>
      <w:r>
        <w:t>7)</w:t>
      </w:r>
      <w:r>
        <w:tab/>
        <w:t xml:space="preserve">All references to a "settlement agreement" in these regulations means a written understanding between the Department and the person being charged. </w:t>
      </w:r>
    </w:p>
    <w:p w14:paraId="1D294048" w14:textId="77777777" w:rsidR="000E3C11" w:rsidRDefault="000E3C11" w:rsidP="006F05A2">
      <w:pPr>
        <w:widowControl w:val="0"/>
        <w:autoSpaceDE w:val="0"/>
        <w:autoSpaceDN w:val="0"/>
        <w:adjustRightInd w:val="0"/>
      </w:pPr>
    </w:p>
    <w:p w14:paraId="5293D323" w14:textId="77777777" w:rsidR="00FE6C4D" w:rsidRPr="00FE6C4D" w:rsidRDefault="00FE6C4D" w:rsidP="00FE6C4D">
      <w:pPr>
        <w:ind w:left="2160" w:right="216" w:hanging="720"/>
      </w:pPr>
      <w:r w:rsidRPr="00FE6C4D">
        <w:t>8)</w:t>
      </w:r>
      <w:r>
        <w:tab/>
      </w:r>
      <w:r w:rsidRPr="00FE6C4D">
        <w:t>49 CFR 171.1(f)(3) is not incorporated by reference and is replaced by the following:</w:t>
      </w:r>
    </w:p>
    <w:p w14:paraId="0C17BC69" w14:textId="77777777" w:rsidR="00FE6C4D" w:rsidRPr="00FE6C4D" w:rsidRDefault="00FE6C4D" w:rsidP="00FE6C4D">
      <w:pPr>
        <w:ind w:left="2040" w:right="216" w:hanging="2040"/>
      </w:pPr>
    </w:p>
    <w:p w14:paraId="05A3C1B1" w14:textId="77777777" w:rsidR="00FE6C4D" w:rsidRPr="00FE6C4D" w:rsidRDefault="00FE6C4D" w:rsidP="00FE6C4D">
      <w:pPr>
        <w:ind w:left="2880" w:right="216"/>
      </w:pPr>
      <w:r w:rsidRPr="00FE6C4D">
        <w:t>Preemption determination procedures are in subpart C of 49 CFR</w:t>
      </w:r>
      <w:r>
        <w:t xml:space="preserve"> </w:t>
      </w:r>
      <w:r w:rsidRPr="00FE6C4D">
        <w:t>107.</w:t>
      </w:r>
    </w:p>
    <w:p w14:paraId="764A69F5" w14:textId="77777777" w:rsidR="00FE6C4D" w:rsidRPr="00FE6C4D" w:rsidRDefault="00FE6C4D" w:rsidP="00FE6C4D">
      <w:pPr>
        <w:ind w:right="216"/>
      </w:pPr>
    </w:p>
    <w:p w14:paraId="1FCFC0DC" w14:textId="77777777" w:rsidR="00FE6C4D" w:rsidRPr="00FE6C4D" w:rsidRDefault="00FE6C4D" w:rsidP="00FE6C4D">
      <w:pPr>
        <w:ind w:left="2160" w:right="216" w:hanging="720"/>
      </w:pPr>
      <w:r w:rsidRPr="00FE6C4D">
        <w:t>9)</w:t>
      </w:r>
      <w:r>
        <w:tab/>
      </w:r>
      <w:r w:rsidRPr="00FE6C4D">
        <w:t>49 CFR 171.1(g) is not incorporated by reference and is replaced by the following:</w:t>
      </w:r>
    </w:p>
    <w:p w14:paraId="00267E49" w14:textId="77777777" w:rsidR="00FE6C4D" w:rsidRPr="00FE6C4D" w:rsidRDefault="00FE6C4D" w:rsidP="00FE6C4D">
      <w:pPr>
        <w:ind w:right="216"/>
      </w:pPr>
    </w:p>
    <w:p w14:paraId="5FC75923" w14:textId="77777777" w:rsidR="00FE6C4D" w:rsidRPr="00FE6C4D" w:rsidRDefault="00FE6C4D" w:rsidP="00FE6C4D">
      <w:pPr>
        <w:ind w:left="2880" w:right="216"/>
      </w:pPr>
      <w:r w:rsidRPr="00FE6C4D">
        <w:t xml:space="preserve">Each person who knowingly violates a requirement of the federal hazardous materials transportation law, an order issued under the federal hazardous materials transportation law, subchapter A of Chapter I of 49 CFR, </w:t>
      </w:r>
      <w:r w:rsidR="00D84A17">
        <w:t>a special permit</w:t>
      </w:r>
      <w:r w:rsidRPr="00FE6C4D">
        <w:t xml:space="preserve"> or approval issued under subchapter A or C of Chapter I of 49 CFR, or the Illinois Hazardous Materials Transportation Regulations is liable for penalties established and set forth in 92 Ill. Adm. Code </w:t>
      </w:r>
      <w:r w:rsidR="00D84A17">
        <w:t>107.1190</w:t>
      </w:r>
      <w:r w:rsidRPr="00FE6C4D">
        <w:t xml:space="preserve"> and </w:t>
      </w:r>
      <w:r w:rsidR="00D84A17">
        <w:t>107.1390</w:t>
      </w:r>
      <w:r w:rsidRPr="00FE6C4D">
        <w:t>.</w:t>
      </w:r>
    </w:p>
    <w:p w14:paraId="7DB36A68" w14:textId="77777777" w:rsidR="00FE6C4D" w:rsidRPr="00FE6C4D" w:rsidRDefault="00FE6C4D" w:rsidP="006F05A2">
      <w:pPr>
        <w:ind w:right="216"/>
      </w:pPr>
    </w:p>
    <w:p w14:paraId="67060613" w14:textId="77777777" w:rsidR="00FE6C4D" w:rsidRPr="00FE6C4D" w:rsidRDefault="00FE6C4D" w:rsidP="000E4B86">
      <w:pPr>
        <w:ind w:left="2160" w:right="216" w:hanging="828"/>
      </w:pPr>
      <w:r w:rsidRPr="00FE6C4D">
        <w:t>10)</w:t>
      </w:r>
      <w:r>
        <w:tab/>
      </w:r>
      <w:r w:rsidRPr="00FE6C4D">
        <w:t>All references to approvals, exemptions</w:t>
      </w:r>
      <w:r w:rsidR="00D84A17">
        <w:t>, special permits</w:t>
      </w:r>
      <w:r w:rsidR="00D95D47">
        <w:t>,</w:t>
      </w:r>
      <w:r w:rsidRPr="00FE6C4D">
        <w:t xml:space="preserve"> or registration referred to in 49 CFR 171.2 shall be read to refer to the federal hazardous materials regulations.</w:t>
      </w:r>
    </w:p>
    <w:p w14:paraId="6D23EF20" w14:textId="77777777" w:rsidR="006A2F22" w:rsidRDefault="006A2F22" w:rsidP="006F05A2">
      <w:pPr>
        <w:pStyle w:val="JCARSourceNote"/>
      </w:pPr>
    </w:p>
    <w:p w14:paraId="169991DE" w14:textId="77777777" w:rsidR="00D84A17" w:rsidRPr="001C7D25" w:rsidRDefault="00D84A17" w:rsidP="001C7D25">
      <w:pPr>
        <w:ind w:left="1332" w:hanging="612"/>
      </w:pPr>
      <w:r w:rsidRPr="009F4C71">
        <w:t>c)</w:t>
      </w:r>
      <w:r w:rsidRPr="009F4C71">
        <w:tab/>
        <w:t>Copies of the materials incorporated by reference are available for inspection at the Illinois Department of Transportation, 2300 S. Dirksen Parkway, Springfield IL 62764 or online via the U.S. Government Publishing Office at http://www.ecfr.gov.</w:t>
      </w:r>
    </w:p>
    <w:p w14:paraId="1C7DB337" w14:textId="77777777" w:rsidR="00D84A17" w:rsidRPr="001C7D25" w:rsidRDefault="00D84A17" w:rsidP="001C7D25"/>
    <w:p w14:paraId="1D50F5FC" w14:textId="45B9CC05" w:rsidR="00EF4746" w:rsidRPr="001C7D25" w:rsidRDefault="00265014" w:rsidP="0072799C">
      <w:pPr>
        <w:ind w:left="720"/>
      </w:pPr>
      <w:r>
        <w:t xml:space="preserve">(Recodified from 92 Ill. Adm. Code 171 (Department of Transportation) pursuant to P.A. 104-0025, at 49 Ill. Reg. </w:t>
      </w:r>
      <w:r w:rsidR="001F5505">
        <w:t>12517</w:t>
      </w:r>
      <w:r>
        <w:t>)</w:t>
      </w:r>
    </w:p>
    <w:sectPr w:rsidR="00EF4746" w:rsidRPr="001C7D25" w:rsidSect="000E3C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E3C11"/>
    <w:rsid w:val="000C11C5"/>
    <w:rsid w:val="000E3C11"/>
    <w:rsid w:val="000E4B86"/>
    <w:rsid w:val="001362F6"/>
    <w:rsid w:val="00142928"/>
    <w:rsid w:val="001B46B1"/>
    <w:rsid w:val="001C7D25"/>
    <w:rsid w:val="001F5505"/>
    <w:rsid w:val="00265014"/>
    <w:rsid w:val="00287692"/>
    <w:rsid w:val="00346A05"/>
    <w:rsid w:val="003843E5"/>
    <w:rsid w:val="00420209"/>
    <w:rsid w:val="0054103C"/>
    <w:rsid w:val="005A6239"/>
    <w:rsid w:val="005C3366"/>
    <w:rsid w:val="005E07BE"/>
    <w:rsid w:val="0060310B"/>
    <w:rsid w:val="00670CC2"/>
    <w:rsid w:val="006A2F22"/>
    <w:rsid w:val="006B44B8"/>
    <w:rsid w:val="006F05A2"/>
    <w:rsid w:val="0072799C"/>
    <w:rsid w:val="007A51BA"/>
    <w:rsid w:val="00884247"/>
    <w:rsid w:val="008C7EF0"/>
    <w:rsid w:val="008D6058"/>
    <w:rsid w:val="008E0E28"/>
    <w:rsid w:val="00985F74"/>
    <w:rsid w:val="00992730"/>
    <w:rsid w:val="009E6193"/>
    <w:rsid w:val="009F4C71"/>
    <w:rsid w:val="00A55700"/>
    <w:rsid w:val="00B122CB"/>
    <w:rsid w:val="00B73098"/>
    <w:rsid w:val="00C15F40"/>
    <w:rsid w:val="00C2357C"/>
    <w:rsid w:val="00C52F3F"/>
    <w:rsid w:val="00CB1E63"/>
    <w:rsid w:val="00D84A17"/>
    <w:rsid w:val="00D95D47"/>
    <w:rsid w:val="00DD657E"/>
    <w:rsid w:val="00E51162"/>
    <w:rsid w:val="00EF4746"/>
    <w:rsid w:val="00F5423A"/>
    <w:rsid w:val="00F56B20"/>
    <w:rsid w:val="00FE6C4D"/>
    <w:rsid w:val="00FF3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0D5B59"/>
  <w15:docId w15:val="{015F2BEC-DADD-4AF5-8762-D143C87D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42928"/>
    <w:rPr>
      <w:rFonts w:ascii="Tahoma" w:hAnsi="Tahoma" w:cs="Tahoma"/>
      <w:sz w:val="16"/>
      <w:szCs w:val="16"/>
    </w:rPr>
  </w:style>
  <w:style w:type="paragraph" w:customStyle="1" w:styleId="JCARSourceNote">
    <w:name w:val="JCAR Source Note"/>
    <w:basedOn w:val="Normal"/>
    <w:rsid w:val="005E0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171</vt:lpstr>
    </vt:vector>
  </TitlesOfParts>
  <Company>State of Illinois</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dc:title>
  <dc:subject/>
  <dc:creator>Illinois General Assembly</dc:creator>
  <cp:keywords/>
  <dc:description/>
  <cp:lastModifiedBy>Shipley, Melissa A.</cp:lastModifiedBy>
  <cp:revision>3</cp:revision>
  <cp:lastPrinted>2017-09-13T15:03:00Z</cp:lastPrinted>
  <dcterms:created xsi:type="dcterms:W3CDTF">2025-10-02T17:27:00Z</dcterms:created>
  <dcterms:modified xsi:type="dcterms:W3CDTF">2025-10-03T12:24:00Z</dcterms:modified>
</cp:coreProperties>
</file>