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ED17" w14:textId="77777777" w:rsidR="00816665" w:rsidRDefault="00816665" w:rsidP="00816665">
      <w:pPr>
        <w:widowControl w:val="0"/>
        <w:autoSpaceDE w:val="0"/>
        <w:autoSpaceDN w:val="0"/>
        <w:adjustRightInd w:val="0"/>
      </w:pPr>
    </w:p>
    <w:p w14:paraId="1AF37768" w14:textId="41B68ADA" w:rsidR="00816665" w:rsidRDefault="00816665" w:rsidP="008166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724E1">
        <w:rPr>
          <w:b/>
          <w:bCs/>
        </w:rPr>
        <w:t>3040</w:t>
      </w:r>
      <w:r>
        <w:rPr>
          <w:b/>
          <w:bCs/>
        </w:rPr>
        <w:t>.18  Continuation of Effectiveness of Existing Bureau of Explosives Registrations (Repealed)</w:t>
      </w:r>
      <w:r>
        <w:t xml:space="preserve"> </w:t>
      </w:r>
    </w:p>
    <w:p w14:paraId="0938816A" w14:textId="77777777" w:rsidR="00816665" w:rsidRDefault="00816665" w:rsidP="00816665">
      <w:pPr>
        <w:widowControl w:val="0"/>
        <w:autoSpaceDE w:val="0"/>
        <w:autoSpaceDN w:val="0"/>
        <w:adjustRightInd w:val="0"/>
      </w:pPr>
    </w:p>
    <w:p w14:paraId="57C96E90" w14:textId="491B13D3" w:rsidR="00816665" w:rsidRDefault="00735BA3" w:rsidP="00D724E1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171 (Department of Transportation) pursuant to P.A. 104-0025, at 49 Ill. Reg. </w:t>
      </w:r>
      <w:r w:rsidR="00CB5CCA">
        <w:t>12517</w:t>
      </w:r>
      <w:r w:rsidR="00D724E1">
        <w:t>)</w:t>
      </w:r>
    </w:p>
    <w:sectPr w:rsidR="00816665" w:rsidSect="008166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665"/>
    <w:rsid w:val="00596C10"/>
    <w:rsid w:val="005C3366"/>
    <w:rsid w:val="00735BA3"/>
    <w:rsid w:val="007614DD"/>
    <w:rsid w:val="00816665"/>
    <w:rsid w:val="009A0F40"/>
    <w:rsid w:val="00CB5CCA"/>
    <w:rsid w:val="00D724E1"/>
    <w:rsid w:val="00EF316A"/>
    <w:rsid w:val="00F7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AD792F"/>
  <w15:docId w15:val="{E7D5DD02-ED5C-4AD6-98C2-72425D44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