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A4" w:rsidRDefault="001A40A4" w:rsidP="001A40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0A4" w:rsidRDefault="001A40A4" w:rsidP="001A40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1710.134  Secondary Storage Lots</w:t>
      </w:r>
      <w:r>
        <w:t xml:space="preserve"> </w:t>
      </w:r>
    </w:p>
    <w:p w:rsidR="001A40A4" w:rsidRDefault="001A40A4" w:rsidP="001A40A4">
      <w:pPr>
        <w:widowControl w:val="0"/>
        <w:autoSpaceDE w:val="0"/>
        <w:autoSpaceDN w:val="0"/>
        <w:adjustRightInd w:val="0"/>
      </w:pPr>
    </w:p>
    <w:p w:rsidR="001A40A4" w:rsidRDefault="001A40A4" w:rsidP="001A40A4">
      <w:pPr>
        <w:widowControl w:val="0"/>
        <w:autoSpaceDE w:val="0"/>
        <w:autoSpaceDN w:val="0"/>
        <w:adjustRightInd w:val="0"/>
      </w:pPr>
      <w:r>
        <w:t xml:space="preserve">A licensed relocator may utilize secondary storage lots for the storage of unclaimed vehicles subject to the following conditions: </w:t>
      </w: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such lot must be owned by or under written lease for the exclusive use of the relocator; </w:t>
      </w: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relocator must have notified the Commission of the location of all such lots prior to the use of such lots; </w:t>
      </w: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vehicle may not be moved to a secondary storage lot unless it has remained unclaimed for a period of 10 days from the date of relocation to the relocator's primary storage lot; </w:t>
      </w: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relocator shall be required to retrieve within the time specified in Section 1710.120(a) any vehicle stored at a secondary lot upon proper reclaiming of such vehicle in accordance with Section 1710.120 of this Part; and </w:t>
      </w: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relocator may not charge a vehicle owner any storage or transportation charge for the period of time necessary to retrieve a vehicle stored at a secondary lot. </w:t>
      </w: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</w:p>
    <w:p w:rsidR="001A40A4" w:rsidRDefault="001A40A4" w:rsidP="001A40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1A40A4" w:rsidSect="001A4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0A4"/>
    <w:rsid w:val="001A40A4"/>
    <w:rsid w:val="004E620A"/>
    <w:rsid w:val="006D4299"/>
    <w:rsid w:val="00A215E0"/>
    <w:rsid w:val="00B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