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E8" w:rsidRDefault="002E3BE8" w:rsidP="002E3B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BE8" w:rsidRDefault="002E3BE8" w:rsidP="002E3B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1710.50  Posting Requirements</w:t>
      </w:r>
      <w:r>
        <w:t xml:space="preserve"> </w:t>
      </w:r>
    </w:p>
    <w:p w:rsidR="002E3BE8" w:rsidRDefault="002E3BE8" w:rsidP="002E3BE8">
      <w:pPr>
        <w:widowControl w:val="0"/>
        <w:autoSpaceDE w:val="0"/>
        <w:autoSpaceDN w:val="0"/>
        <w:adjustRightInd w:val="0"/>
      </w:pPr>
    </w:p>
    <w:p w:rsidR="002E3BE8" w:rsidRDefault="002E3BE8" w:rsidP="002E3BE8">
      <w:pPr>
        <w:widowControl w:val="0"/>
        <w:autoSpaceDE w:val="0"/>
        <w:autoSpaceDN w:val="0"/>
        <w:adjustRightInd w:val="0"/>
      </w:pPr>
      <w:r>
        <w:t xml:space="preserve">Signs meeting the specifications of Section 18a-302 of the Law [625 ILCS 5/18a-302] and Section 1710.51 shall be posted on each lot from which a relocator is authorized to remove unauthorized vehicles.  Such signs must be posted at least 24 hours before any vehicle is relocated from the lot. </w:t>
      </w:r>
    </w:p>
    <w:p w:rsidR="002E3BE8" w:rsidRDefault="002E3BE8" w:rsidP="002E3BE8">
      <w:pPr>
        <w:widowControl w:val="0"/>
        <w:autoSpaceDE w:val="0"/>
        <w:autoSpaceDN w:val="0"/>
        <w:adjustRightInd w:val="0"/>
      </w:pPr>
    </w:p>
    <w:p w:rsidR="002E3BE8" w:rsidRDefault="002E3BE8" w:rsidP="002E3B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16200, effective August 31, 1998) </w:t>
      </w:r>
    </w:p>
    <w:sectPr w:rsidR="002E3BE8" w:rsidSect="002E3B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BE8"/>
    <w:rsid w:val="00243406"/>
    <w:rsid w:val="002E3BE8"/>
    <w:rsid w:val="004E620A"/>
    <w:rsid w:val="005F3A2D"/>
    <w:rsid w:val="0061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