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3C" w:rsidRDefault="00005B3C" w:rsidP="00005B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B3C" w:rsidRDefault="00005B3C" w:rsidP="00005B3C">
      <w:pPr>
        <w:widowControl w:val="0"/>
        <w:autoSpaceDE w:val="0"/>
        <w:autoSpaceDN w:val="0"/>
        <w:adjustRightInd w:val="0"/>
      </w:pPr>
      <w:r>
        <w:t xml:space="preserve">SOURCE:  Effective January 1, 1969; codified at 8 Ill. Reg. 13679; Part </w:t>
      </w:r>
      <w:proofErr w:type="spellStart"/>
      <w:r>
        <w:t>recodified</w:t>
      </w:r>
      <w:proofErr w:type="spellEnd"/>
      <w:r>
        <w:t xml:space="preserve"> at 10 Ill. Reg. 18003. </w:t>
      </w:r>
      <w:r>
        <w:tab/>
      </w:r>
    </w:p>
    <w:sectPr w:rsidR="00005B3C" w:rsidSect="00005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B3C"/>
    <w:rsid w:val="00005B3C"/>
    <w:rsid w:val="00331D7B"/>
    <w:rsid w:val="0038649F"/>
    <w:rsid w:val="004E620A"/>
    <w:rsid w:val="008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January 1, 1969; codified at 8 Ill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January 1, 1969;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