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CF" w:rsidRDefault="00DE10CF" w:rsidP="0041094D">
      <w:pPr>
        <w:rPr>
          <w:b/>
        </w:rPr>
      </w:pPr>
      <w:bookmarkStart w:id="0" w:name="_GoBack"/>
      <w:bookmarkEnd w:id="0"/>
    </w:p>
    <w:p w:rsidR="0041094D" w:rsidRPr="00A229B2" w:rsidRDefault="0041094D" w:rsidP="0041094D">
      <w:pPr>
        <w:rPr>
          <w:b/>
        </w:rPr>
      </w:pPr>
      <w:r w:rsidRPr="00A229B2">
        <w:rPr>
          <w:b/>
        </w:rPr>
        <w:t>Section 1546.120  Other Tracks</w:t>
      </w:r>
    </w:p>
    <w:p w:rsidR="0041094D" w:rsidRPr="0041094D" w:rsidRDefault="0041094D" w:rsidP="0041094D"/>
    <w:p w:rsidR="0041094D" w:rsidRPr="0041094D" w:rsidRDefault="0041094D" w:rsidP="00A229B2">
      <w:pPr>
        <w:ind w:left="1440" w:hanging="720"/>
      </w:pPr>
      <w:r w:rsidRPr="0041094D">
        <w:t>a)</w:t>
      </w:r>
      <w:r w:rsidRPr="0041094D">
        <w:tab/>
        <w:t xml:space="preserve">In cases where the Commission finds, after notice and hearing, that rail carrier employees who frequently work adjacent to a portion of track performing switching activities are exposed to safety hazards due to the lack of a walkway or to the condition of a walkway constructed before </w:t>
      </w:r>
      <w:r w:rsidR="009A27D6">
        <w:t>February 15, 2005</w:t>
      </w:r>
      <w:r w:rsidRPr="0041094D">
        <w:t xml:space="preserve"> the Commission may order a rail carrier to construct a walkway adjacent to a portion of track where employees are performing switching activities, or require a rail carrier to modify an existing walkway in conformance with the standards set forth in Section 1546.110 within a reasonable period of time. </w:t>
      </w:r>
    </w:p>
    <w:p w:rsidR="0041094D" w:rsidRPr="0041094D" w:rsidRDefault="0041094D" w:rsidP="0041094D"/>
    <w:p w:rsidR="0041094D" w:rsidRPr="0041094D" w:rsidRDefault="0041094D" w:rsidP="00A229B2">
      <w:pPr>
        <w:ind w:firstLine="720"/>
      </w:pPr>
      <w:r w:rsidRPr="0041094D">
        <w:t>b)</w:t>
      </w:r>
      <w:r w:rsidRPr="0041094D">
        <w:tab/>
        <w:t xml:space="preserve">For purposes of this Part, </w:t>
      </w:r>
      <w:r w:rsidR="00A229B2">
        <w:t>"</w:t>
      </w:r>
      <w:r w:rsidRPr="0041094D">
        <w:t>frequently</w:t>
      </w:r>
      <w:r w:rsidR="00A229B2">
        <w:t>"</w:t>
      </w:r>
      <w:r w:rsidRPr="0041094D">
        <w:t xml:space="preserve"> shall mean at least 5 days per week, 1 shift</w:t>
      </w:r>
    </w:p>
    <w:p w:rsidR="0041094D" w:rsidRPr="0041094D" w:rsidRDefault="0041094D" w:rsidP="00A229B2">
      <w:pPr>
        <w:ind w:left="1440"/>
      </w:pPr>
      <w:r w:rsidRPr="0041094D">
        <w:t xml:space="preserve">per day or any other period deemed </w:t>
      </w:r>
      <w:r w:rsidR="00A229B2">
        <w:t>"</w:t>
      </w:r>
      <w:r w:rsidRPr="0041094D">
        <w:t>frequently</w:t>
      </w:r>
      <w:r w:rsidR="00583D0A">
        <w:t>"</w:t>
      </w:r>
      <w:r w:rsidRPr="0041094D">
        <w:t xml:space="preserve"> enough by the Commission to warrant an order pursuant to this </w:t>
      </w:r>
      <w:r w:rsidR="00583D0A">
        <w:t>P</w:t>
      </w:r>
      <w:r w:rsidRPr="0041094D">
        <w:t xml:space="preserve">art.  </w:t>
      </w:r>
    </w:p>
    <w:sectPr w:rsidR="0041094D" w:rsidRPr="0041094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190F">
      <w:r>
        <w:separator/>
      </w:r>
    </w:p>
  </w:endnote>
  <w:endnote w:type="continuationSeparator" w:id="0">
    <w:p w:rsidR="00000000" w:rsidRDefault="0089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190F">
      <w:r>
        <w:separator/>
      </w:r>
    </w:p>
  </w:footnote>
  <w:footnote w:type="continuationSeparator" w:id="0">
    <w:p w:rsidR="00000000" w:rsidRDefault="0089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094D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3D0A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9190F"/>
    <w:rsid w:val="008E3F66"/>
    <w:rsid w:val="00932B5E"/>
    <w:rsid w:val="00935A8C"/>
    <w:rsid w:val="0098276C"/>
    <w:rsid w:val="009A27D6"/>
    <w:rsid w:val="009C25DC"/>
    <w:rsid w:val="00A174BB"/>
    <w:rsid w:val="00A2265D"/>
    <w:rsid w:val="00A229B2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46345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10CF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1094D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41094D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1094D"/>
    <w:pPr>
      <w:ind w:left="72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1094D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41094D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1094D"/>
    <w:pPr>
      <w:ind w:left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