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B97" w:rsidRDefault="00A64B97" w:rsidP="00A64B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4B97" w:rsidRDefault="00A64B97" w:rsidP="00A64B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1470.330  Exemption from Annual Reports</w:t>
      </w:r>
      <w:r>
        <w:t xml:space="preserve"> </w:t>
      </w:r>
    </w:p>
    <w:p w:rsidR="00A64B97" w:rsidRDefault="00A64B97" w:rsidP="00A64B97">
      <w:pPr>
        <w:widowControl w:val="0"/>
        <w:autoSpaceDE w:val="0"/>
        <w:autoSpaceDN w:val="0"/>
        <w:adjustRightInd w:val="0"/>
      </w:pPr>
    </w:p>
    <w:p w:rsidR="00A64B97" w:rsidRDefault="00A64B97" w:rsidP="00A64B97">
      <w:pPr>
        <w:widowControl w:val="0"/>
        <w:autoSpaceDE w:val="0"/>
        <w:autoSpaceDN w:val="0"/>
        <w:adjustRightInd w:val="0"/>
      </w:pPr>
      <w:r>
        <w:t xml:space="preserve">Any requirement that motor carriers of property file annual reports shall not apply to holders of non-relocation towing licenses. </w:t>
      </w:r>
    </w:p>
    <w:sectPr w:rsidR="00A64B97" w:rsidSect="00A64B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4B97"/>
    <w:rsid w:val="004E620A"/>
    <w:rsid w:val="00542A54"/>
    <w:rsid w:val="00A64B97"/>
    <w:rsid w:val="00B22809"/>
    <w:rsid w:val="00B5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1470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1470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