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FD" w:rsidRDefault="008E7AFD" w:rsidP="008E7A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AFD" w:rsidRDefault="008E7AFD" w:rsidP="008E7A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1457.1210  Ratemaking Records</w:t>
      </w:r>
      <w:r>
        <w:t xml:space="preserve"> </w:t>
      </w:r>
    </w:p>
    <w:p w:rsidR="008E7AFD" w:rsidRDefault="008E7AFD" w:rsidP="008E7AFD">
      <w:pPr>
        <w:widowControl w:val="0"/>
        <w:autoSpaceDE w:val="0"/>
        <w:autoSpaceDN w:val="0"/>
        <w:adjustRightInd w:val="0"/>
      </w:pPr>
    </w:p>
    <w:p w:rsidR="008E7AFD" w:rsidRDefault="008E7AFD" w:rsidP="008E7AFD">
      <w:pPr>
        <w:widowControl w:val="0"/>
        <w:autoSpaceDE w:val="0"/>
        <w:autoSpaceDN w:val="0"/>
        <w:adjustRightInd w:val="0"/>
      </w:pPr>
      <w:r>
        <w:t xml:space="preserve">Each tariff bureau shall maintain, with regard to each rate proposal presented to or acted upon by the tariff bureau, either as an independent action or collective action, a complete file containing: </w:t>
      </w:r>
    </w:p>
    <w:p w:rsidR="008E7AFD" w:rsidRDefault="008E7AFD" w:rsidP="008E7A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copy of the rate proposal as received by the tariff bureau; </w:t>
      </w:r>
    </w:p>
    <w:p w:rsidR="008E7AFD" w:rsidRDefault="008E7AFD" w:rsidP="008E7A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any response by the tariff bureau, participating carriers, or others to the rate proposal; </w:t>
      </w:r>
    </w:p>
    <w:p w:rsidR="008E7AFD" w:rsidRDefault="008E7AFD" w:rsidP="008E7AF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account of the processing and disposition of the rate proposal; and </w:t>
      </w:r>
    </w:p>
    <w:p w:rsidR="008E7AFD" w:rsidRDefault="008E7AFD" w:rsidP="008E7AF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related documents in the possession of the tariff bureau. </w:t>
      </w:r>
    </w:p>
    <w:sectPr w:rsidR="008E7AFD" w:rsidSect="008E7A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AFD"/>
    <w:rsid w:val="00015DF6"/>
    <w:rsid w:val="00151ED9"/>
    <w:rsid w:val="004E620A"/>
    <w:rsid w:val="008E7AFD"/>
    <w:rsid w:val="00A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