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53" w:rsidRDefault="00B06753" w:rsidP="00B067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753" w:rsidRDefault="00B06753" w:rsidP="00B067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1457.1110  Contents of Application</w:t>
      </w:r>
      <w:r>
        <w:t xml:space="preserve"> </w:t>
      </w:r>
    </w:p>
    <w:p w:rsidR="00B06753" w:rsidRDefault="00B06753" w:rsidP="00B06753">
      <w:pPr>
        <w:widowControl w:val="0"/>
        <w:autoSpaceDE w:val="0"/>
        <w:autoSpaceDN w:val="0"/>
        <w:adjustRightInd w:val="0"/>
      </w:pPr>
    </w:p>
    <w:p w:rsidR="00B06753" w:rsidRDefault="00B06753" w:rsidP="00B06753">
      <w:pPr>
        <w:widowControl w:val="0"/>
        <w:autoSpaceDE w:val="0"/>
        <w:autoSpaceDN w:val="0"/>
        <w:adjustRightInd w:val="0"/>
      </w:pPr>
      <w:r>
        <w:t xml:space="preserve">Application for approval of a tariff bureau agreement shall be verified and shall show: </w:t>
      </w:r>
    </w:p>
    <w:p w:rsidR="00B06753" w:rsidRDefault="00B06753" w:rsidP="00B067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full and correct name, trade name, and business address (street and number, city, state, and zip code) of the applicant; whether applicant is a corporation, individual, or partnership; if a corporation, the state of incorporation, and if a partnership, the names of the partners and date of formation of the partnership. </w:t>
      </w:r>
    </w:p>
    <w:p w:rsidR="00B06753" w:rsidRDefault="00B06753" w:rsidP="00B067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full and correct name and trade name of each carrier participating in the agreement. </w:t>
      </w:r>
    </w:p>
    <w:p w:rsidR="00B06753" w:rsidRDefault="00B06753" w:rsidP="00B067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detailed description of the tariff bureau, including its organizational structure; the identities of its owners, officers and directors; the services it provides; the territory within which it provides services; and any relationship of a business nature between the tariff bureau and any other transportation organization other than its participating carriers. </w:t>
      </w:r>
    </w:p>
    <w:p w:rsidR="00B06753" w:rsidRDefault="00B06753" w:rsidP="00B067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facts relied upon to establish that the agreement will be in the furtherance of the State transportation policy (see 625 ILCS 5/18c-1103). </w:t>
      </w:r>
    </w:p>
    <w:sectPr w:rsidR="00B06753" w:rsidSect="00B06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753"/>
    <w:rsid w:val="000A135C"/>
    <w:rsid w:val="004E620A"/>
    <w:rsid w:val="00602CD1"/>
    <w:rsid w:val="008D6DE9"/>
    <w:rsid w:val="00B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