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D0A" w:rsidRDefault="00A95D0A" w:rsidP="00A95D0A">
      <w:pPr>
        <w:widowControl w:val="0"/>
        <w:autoSpaceDE w:val="0"/>
        <w:autoSpaceDN w:val="0"/>
        <w:adjustRightInd w:val="0"/>
      </w:pPr>
      <w:bookmarkStart w:id="0" w:name="_GoBack"/>
      <w:bookmarkEnd w:id="0"/>
    </w:p>
    <w:p w:rsidR="00A95D0A" w:rsidRDefault="00A95D0A" w:rsidP="00A95D0A">
      <w:pPr>
        <w:widowControl w:val="0"/>
        <w:autoSpaceDE w:val="0"/>
        <w:autoSpaceDN w:val="0"/>
        <w:adjustRightInd w:val="0"/>
      </w:pPr>
      <w:r>
        <w:rPr>
          <w:b/>
          <w:bCs/>
        </w:rPr>
        <w:t xml:space="preserve">Section 1225.2200  Commodity Rates Determined by the Use of Rate Base Numbers </w:t>
      </w:r>
      <w:r w:rsidR="00D5458E">
        <w:rPr>
          <w:b/>
          <w:bCs/>
        </w:rPr>
        <w:t>−</w:t>
      </w:r>
      <w:r>
        <w:rPr>
          <w:b/>
          <w:bCs/>
        </w:rPr>
        <w:t xml:space="preserve"> Common Carriers of Property</w:t>
      </w:r>
      <w:r>
        <w:t xml:space="preserve"> </w:t>
      </w:r>
    </w:p>
    <w:p w:rsidR="00A95D0A" w:rsidRDefault="00A95D0A" w:rsidP="00A95D0A">
      <w:pPr>
        <w:widowControl w:val="0"/>
        <w:autoSpaceDE w:val="0"/>
        <w:autoSpaceDN w:val="0"/>
        <w:adjustRightInd w:val="0"/>
      </w:pPr>
    </w:p>
    <w:p w:rsidR="00A95D0A" w:rsidRDefault="00A95D0A" w:rsidP="00A95D0A">
      <w:pPr>
        <w:widowControl w:val="0"/>
        <w:autoSpaceDE w:val="0"/>
        <w:autoSpaceDN w:val="0"/>
        <w:adjustRightInd w:val="0"/>
        <w:ind w:left="1440" w:hanging="720"/>
      </w:pPr>
      <w:r>
        <w:t>a)</w:t>
      </w:r>
      <w:r>
        <w:tab/>
        <w:t xml:space="preserve">This Section applies only for common carriers of property. </w:t>
      </w:r>
    </w:p>
    <w:p w:rsidR="008C68B3" w:rsidRDefault="008C68B3" w:rsidP="00A95D0A">
      <w:pPr>
        <w:widowControl w:val="0"/>
        <w:autoSpaceDE w:val="0"/>
        <w:autoSpaceDN w:val="0"/>
        <w:adjustRightInd w:val="0"/>
        <w:ind w:left="1440" w:hanging="720"/>
      </w:pPr>
    </w:p>
    <w:p w:rsidR="00A95D0A" w:rsidRDefault="00A95D0A" w:rsidP="00A95D0A">
      <w:pPr>
        <w:widowControl w:val="0"/>
        <w:autoSpaceDE w:val="0"/>
        <w:autoSpaceDN w:val="0"/>
        <w:adjustRightInd w:val="0"/>
        <w:ind w:left="1440" w:hanging="720"/>
      </w:pPr>
      <w:r>
        <w:t>b)</w:t>
      </w:r>
      <w:r>
        <w:tab/>
        <w:t xml:space="preserve">"Column commodity rates" or "commodity rate column" shall be the terms used in captions for, and references to, commodity rates determined by use of rate base numbers or other basing systems.  The basing system shall be in the same or other tariffs. </w:t>
      </w:r>
    </w:p>
    <w:sectPr w:rsidR="00A95D0A" w:rsidSect="00A95D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5D0A"/>
    <w:rsid w:val="002043F5"/>
    <w:rsid w:val="004E620A"/>
    <w:rsid w:val="00744D13"/>
    <w:rsid w:val="008C68B3"/>
    <w:rsid w:val="00A95D0A"/>
    <w:rsid w:val="00BE4745"/>
    <w:rsid w:val="00D5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