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39" w:rsidRDefault="00D13F39" w:rsidP="00D13F39">
      <w:pPr>
        <w:widowControl w:val="0"/>
        <w:autoSpaceDE w:val="0"/>
        <w:autoSpaceDN w:val="0"/>
        <w:adjustRightInd w:val="0"/>
      </w:pPr>
      <w:bookmarkStart w:id="0" w:name="_GoBack"/>
      <w:bookmarkEnd w:id="0"/>
    </w:p>
    <w:p w:rsidR="00D13F39" w:rsidRDefault="00D13F39" w:rsidP="00D13F39">
      <w:pPr>
        <w:widowControl w:val="0"/>
        <w:autoSpaceDE w:val="0"/>
        <w:autoSpaceDN w:val="0"/>
        <w:adjustRightInd w:val="0"/>
      </w:pPr>
      <w:r>
        <w:rPr>
          <w:b/>
          <w:bCs/>
        </w:rPr>
        <w:t>Section 1225.1900  General Rules</w:t>
      </w:r>
      <w:r>
        <w:t xml:space="preserve"> </w:t>
      </w:r>
    </w:p>
    <w:p w:rsidR="00D13F39" w:rsidRDefault="00D13F39" w:rsidP="00D13F39">
      <w:pPr>
        <w:widowControl w:val="0"/>
        <w:autoSpaceDE w:val="0"/>
        <w:autoSpaceDN w:val="0"/>
        <w:adjustRightInd w:val="0"/>
      </w:pPr>
    </w:p>
    <w:p w:rsidR="00D13F39" w:rsidRDefault="00D13F39" w:rsidP="00D13F39">
      <w:pPr>
        <w:widowControl w:val="0"/>
        <w:autoSpaceDE w:val="0"/>
        <w:autoSpaceDN w:val="0"/>
        <w:adjustRightInd w:val="0"/>
      </w:pPr>
      <w:r>
        <w:t xml:space="preserve">Carriers or their agents shall publish and file with the Commission all rules and charges governing accessorial services, terminal services, allowances, absorptions, and other practices or privileges.  The rules governing the rate, if any, shall be stated separately.  The amount of the charges shall be included or the method of determining the charges if the carrier is acting as collection agent for a third party or is advancing payment, e.g., as for tolls, ferry charges, and special permits. </w:t>
      </w:r>
    </w:p>
    <w:sectPr w:rsidR="00D13F39" w:rsidSect="00D13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F39"/>
    <w:rsid w:val="00035074"/>
    <w:rsid w:val="004E620A"/>
    <w:rsid w:val="00790B24"/>
    <w:rsid w:val="00D13F39"/>
    <w:rsid w:val="00D2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