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3B8" w:rsidRDefault="006653B8" w:rsidP="006653B8">
      <w:pPr>
        <w:widowControl w:val="0"/>
        <w:autoSpaceDE w:val="0"/>
        <w:autoSpaceDN w:val="0"/>
        <w:adjustRightInd w:val="0"/>
      </w:pPr>
      <w:bookmarkStart w:id="0" w:name="_GoBack"/>
      <w:bookmarkEnd w:id="0"/>
    </w:p>
    <w:p w:rsidR="006653B8" w:rsidRDefault="006653B8" w:rsidP="006653B8">
      <w:pPr>
        <w:widowControl w:val="0"/>
        <w:autoSpaceDE w:val="0"/>
        <w:autoSpaceDN w:val="0"/>
        <w:adjustRightInd w:val="0"/>
      </w:pPr>
      <w:r>
        <w:rPr>
          <w:b/>
          <w:bCs/>
        </w:rPr>
        <w:t>Section 1225.1820  Participation in Governing Publications</w:t>
      </w:r>
      <w:r>
        <w:t xml:space="preserve"> </w:t>
      </w:r>
    </w:p>
    <w:p w:rsidR="006653B8" w:rsidRDefault="006653B8" w:rsidP="006653B8">
      <w:pPr>
        <w:widowControl w:val="0"/>
        <w:autoSpaceDE w:val="0"/>
        <w:autoSpaceDN w:val="0"/>
        <w:adjustRightInd w:val="0"/>
      </w:pPr>
    </w:p>
    <w:p w:rsidR="006653B8" w:rsidRDefault="006653B8" w:rsidP="006653B8">
      <w:pPr>
        <w:widowControl w:val="0"/>
        <w:autoSpaceDE w:val="0"/>
        <w:autoSpaceDN w:val="0"/>
        <w:adjustRightInd w:val="0"/>
      </w:pPr>
      <w:r>
        <w:t xml:space="preserve">Carriers participating in tariffs which refer to and are governed by separate tariffs (classifications, exceptions, rules etc.) shall also participate in those governing separate tariffs, unless specifically stated in the governed tariffs that provisions in the separate tariffs will not apply for their account.  This does not require participation in local drayage tariffs or in terminal and special services tariffs applicable only for the issuing carrier.  Carriers participating in a rate tariff solely to provide substituted service at another carrier's options need not participate in the governing tariffs.  See Section 1225.2505. </w:t>
      </w:r>
    </w:p>
    <w:sectPr w:rsidR="006653B8" w:rsidSect="006653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53B8"/>
    <w:rsid w:val="00083C0A"/>
    <w:rsid w:val="003341FA"/>
    <w:rsid w:val="004E620A"/>
    <w:rsid w:val="006653B8"/>
    <w:rsid w:val="00774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2012-06-22T00:07:00Z</dcterms:created>
  <dcterms:modified xsi:type="dcterms:W3CDTF">2012-06-22T00:07:00Z</dcterms:modified>
</cp:coreProperties>
</file>