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10" w:rsidRDefault="00865810" w:rsidP="00865810">
      <w:pPr>
        <w:widowControl w:val="0"/>
        <w:autoSpaceDE w:val="0"/>
        <w:autoSpaceDN w:val="0"/>
        <w:adjustRightInd w:val="0"/>
      </w:pPr>
      <w:bookmarkStart w:id="0" w:name="_GoBack"/>
      <w:bookmarkEnd w:id="0"/>
    </w:p>
    <w:p w:rsidR="00865810" w:rsidRDefault="00865810" w:rsidP="00865810">
      <w:pPr>
        <w:widowControl w:val="0"/>
        <w:autoSpaceDE w:val="0"/>
        <w:autoSpaceDN w:val="0"/>
        <w:adjustRightInd w:val="0"/>
      </w:pPr>
      <w:r>
        <w:rPr>
          <w:b/>
          <w:bCs/>
        </w:rPr>
        <w:t>Section 1225.1700  Separate Tariffs May Be Filed</w:t>
      </w:r>
      <w:r>
        <w:t xml:space="preserve"> </w:t>
      </w:r>
    </w:p>
    <w:p w:rsidR="00865810" w:rsidRDefault="00865810" w:rsidP="00865810">
      <w:pPr>
        <w:widowControl w:val="0"/>
        <w:autoSpaceDE w:val="0"/>
        <w:autoSpaceDN w:val="0"/>
        <w:adjustRightInd w:val="0"/>
      </w:pPr>
    </w:p>
    <w:p w:rsidR="00865810" w:rsidRDefault="00865810" w:rsidP="00865810">
      <w:pPr>
        <w:widowControl w:val="0"/>
        <w:autoSpaceDE w:val="0"/>
        <w:autoSpaceDN w:val="0"/>
        <w:adjustRightInd w:val="0"/>
      </w:pPr>
      <w:r>
        <w:t xml:space="preserve">Rate groups or rates bases for determination of rates between points named in the rate tariff may be filed in a separate tariff.  The tariff may contain routing and operating authority provisions, waybilling instructions and divisions.  No tariff may be governed by more than two rate group or rate basis tariffs, one for origin points and one for destination points. </w:t>
      </w:r>
    </w:p>
    <w:sectPr w:rsidR="00865810" w:rsidSect="00865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810"/>
    <w:rsid w:val="004E620A"/>
    <w:rsid w:val="00863FEC"/>
    <w:rsid w:val="00865810"/>
    <w:rsid w:val="009F1C08"/>
    <w:rsid w:val="00AD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