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1EC" w:rsidRDefault="000A31EC" w:rsidP="000A31EC">
      <w:pPr>
        <w:widowControl w:val="0"/>
        <w:autoSpaceDE w:val="0"/>
        <w:autoSpaceDN w:val="0"/>
        <w:adjustRightInd w:val="0"/>
      </w:pPr>
      <w:bookmarkStart w:id="0" w:name="_GoBack"/>
      <w:bookmarkEnd w:id="0"/>
    </w:p>
    <w:p w:rsidR="000A31EC" w:rsidRDefault="000A31EC" w:rsidP="000A31EC">
      <w:pPr>
        <w:widowControl w:val="0"/>
        <w:autoSpaceDE w:val="0"/>
        <w:autoSpaceDN w:val="0"/>
        <w:adjustRightInd w:val="0"/>
      </w:pPr>
      <w:r>
        <w:rPr>
          <w:b/>
          <w:bCs/>
        </w:rPr>
        <w:t>Section 1225.1155  Tariffs or Schedules, Concurrences, Powers of Attorney, Contracts, and Special Permission</w:t>
      </w:r>
      <w:r w:rsidR="001A0337">
        <w:rPr>
          <w:b/>
          <w:bCs/>
        </w:rPr>
        <w:t>s</w:t>
      </w:r>
      <w:r>
        <w:t xml:space="preserve"> </w:t>
      </w:r>
    </w:p>
    <w:p w:rsidR="000A31EC" w:rsidRDefault="000A31EC" w:rsidP="000A31EC">
      <w:pPr>
        <w:widowControl w:val="0"/>
        <w:autoSpaceDE w:val="0"/>
        <w:autoSpaceDN w:val="0"/>
        <w:adjustRightInd w:val="0"/>
      </w:pPr>
    </w:p>
    <w:p w:rsidR="000A31EC" w:rsidRDefault="000A31EC" w:rsidP="000A31EC">
      <w:pPr>
        <w:widowControl w:val="0"/>
        <w:autoSpaceDE w:val="0"/>
        <w:autoSpaceDN w:val="0"/>
        <w:adjustRightInd w:val="0"/>
        <w:ind w:left="1440" w:hanging="720"/>
      </w:pPr>
      <w:r>
        <w:t>a)</w:t>
      </w:r>
      <w:r>
        <w:tab/>
        <w:t xml:space="preserve">If an adoption notice is filed under this Subpart, the old carrier's effective tariffs or schedules, concurrences, powers of attorney, and any contracts and special permissions become those of the new carrier upon the filing of the notice and remain effective for a period of 180 days unless canceled, revoked, or replaced by the new carrier.  Within 180 days, new concurrences, powers of attorney, and contracts must be filed by the new carrier. </w:t>
      </w:r>
    </w:p>
    <w:p w:rsidR="00BB3324" w:rsidRDefault="00BB3324" w:rsidP="000A31EC">
      <w:pPr>
        <w:widowControl w:val="0"/>
        <w:autoSpaceDE w:val="0"/>
        <w:autoSpaceDN w:val="0"/>
        <w:adjustRightInd w:val="0"/>
        <w:ind w:left="1440" w:hanging="720"/>
      </w:pPr>
    </w:p>
    <w:p w:rsidR="000A31EC" w:rsidRDefault="000A31EC" w:rsidP="000A31EC">
      <w:pPr>
        <w:widowControl w:val="0"/>
        <w:autoSpaceDE w:val="0"/>
        <w:autoSpaceDN w:val="0"/>
        <w:adjustRightInd w:val="0"/>
        <w:ind w:left="1440" w:hanging="720"/>
      </w:pPr>
      <w:r>
        <w:t>b)</w:t>
      </w:r>
      <w:r>
        <w:tab/>
        <w:t xml:space="preserve">The filing of an adoption supplement shall make tariffs, schedules, and special permissions applicable thereafter to the new carrier, but the new carrier must file new concurrences, powers of attorney, tariffs, schedules, and contracts within 180 days. </w:t>
      </w:r>
    </w:p>
    <w:sectPr w:rsidR="000A31EC" w:rsidSect="000A31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31EC"/>
    <w:rsid w:val="000A31EC"/>
    <w:rsid w:val="001A0337"/>
    <w:rsid w:val="004E620A"/>
    <w:rsid w:val="00827C4B"/>
    <w:rsid w:val="00B52FEC"/>
    <w:rsid w:val="00BB3324"/>
    <w:rsid w:val="00F33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2012-06-22T00:07:00Z</dcterms:created>
  <dcterms:modified xsi:type="dcterms:W3CDTF">2012-06-22T00:07:00Z</dcterms:modified>
</cp:coreProperties>
</file>