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A5" w:rsidRDefault="000207A5" w:rsidP="000207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07A5" w:rsidRDefault="000207A5" w:rsidP="000207A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1225.1150  Fiduciaries</w:t>
      </w:r>
      <w:proofErr w:type="gramEnd"/>
      <w:r>
        <w:t xml:space="preserve"> </w:t>
      </w:r>
    </w:p>
    <w:p w:rsidR="000207A5" w:rsidRDefault="000207A5" w:rsidP="000207A5">
      <w:pPr>
        <w:widowControl w:val="0"/>
        <w:autoSpaceDE w:val="0"/>
        <w:autoSpaceDN w:val="0"/>
        <w:adjustRightInd w:val="0"/>
      </w:pPr>
    </w:p>
    <w:p w:rsidR="000207A5" w:rsidRDefault="000207A5" w:rsidP="000207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 fiduciary assumes possession or operating control of a carrier, tariff publications and other instruments shall show the name of the carrier, followed by the name and capacity of the fiduciary. </w:t>
      </w:r>
    </w:p>
    <w:p w:rsidR="00703794" w:rsidRDefault="00703794" w:rsidP="000207A5">
      <w:pPr>
        <w:widowControl w:val="0"/>
        <w:autoSpaceDE w:val="0"/>
        <w:autoSpaceDN w:val="0"/>
        <w:adjustRightInd w:val="0"/>
        <w:ind w:left="1440" w:hanging="720"/>
      </w:pPr>
    </w:p>
    <w:p w:rsidR="000207A5" w:rsidRDefault="000207A5" w:rsidP="000207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termination of the fiduciary's possession or control, the party assuming control of the carrier's property shall comply with the regulations in this Section. </w:t>
      </w:r>
    </w:p>
    <w:sectPr w:rsidR="000207A5" w:rsidSect="000207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7A5"/>
    <w:rsid w:val="000207A5"/>
    <w:rsid w:val="004E620A"/>
    <w:rsid w:val="00703794"/>
    <w:rsid w:val="00B13E78"/>
    <w:rsid w:val="00CB4385"/>
    <w:rsid w:val="00E9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2012-06-22T00:07:00Z</dcterms:modified>
</cp:coreProperties>
</file>