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A5" w:rsidRDefault="000207A5" w:rsidP="00020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7A5" w:rsidRDefault="000207A5" w:rsidP="000207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1225.1150  Fiduciaries</w:t>
      </w:r>
      <w:proofErr w:type="gramEnd"/>
      <w:r>
        <w:t xml:space="preserve"> </w:t>
      </w:r>
    </w:p>
    <w:p w:rsidR="000207A5" w:rsidRDefault="000207A5" w:rsidP="000207A5">
      <w:pPr>
        <w:widowControl w:val="0"/>
        <w:autoSpaceDE w:val="0"/>
        <w:autoSpaceDN w:val="0"/>
        <w:adjustRightInd w:val="0"/>
      </w:pPr>
    </w:p>
    <w:p w:rsidR="000207A5" w:rsidRDefault="000207A5" w:rsidP="000207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fiduciary assumes possession or operating control of a carrier, tariff publications and other instruments shall show the name of the carrier, followed by the name and capacity of the fiduciary. </w:t>
      </w:r>
    </w:p>
    <w:p w:rsidR="00703794" w:rsidRDefault="00703794" w:rsidP="000207A5">
      <w:pPr>
        <w:widowControl w:val="0"/>
        <w:autoSpaceDE w:val="0"/>
        <w:autoSpaceDN w:val="0"/>
        <w:adjustRightInd w:val="0"/>
        <w:ind w:left="1440" w:hanging="720"/>
      </w:pPr>
    </w:p>
    <w:p w:rsidR="000207A5" w:rsidRDefault="000207A5" w:rsidP="000207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termination of the fiduciary's possession or control, the party assuming control of the carrier's property shall comply with the regulations in this Section. </w:t>
      </w:r>
    </w:p>
    <w:sectPr w:rsidR="000207A5" w:rsidSect="00020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7A5"/>
    <w:rsid w:val="000207A5"/>
    <w:rsid w:val="004E620A"/>
    <w:rsid w:val="00703794"/>
    <w:rsid w:val="00B13E78"/>
    <w:rsid w:val="00CB4385"/>
    <w:rsid w:val="00E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2012-06-22T00:07:00Z</dcterms:modified>
</cp:coreProperties>
</file>