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5FB" w:rsidRDefault="005445FB" w:rsidP="005445FB">
      <w:pPr>
        <w:widowControl w:val="0"/>
        <w:autoSpaceDE w:val="0"/>
        <w:autoSpaceDN w:val="0"/>
        <w:adjustRightInd w:val="0"/>
      </w:pPr>
      <w:bookmarkStart w:id="0" w:name="_GoBack"/>
      <w:bookmarkEnd w:id="0"/>
    </w:p>
    <w:p w:rsidR="005445FB" w:rsidRDefault="005445FB" w:rsidP="005445FB">
      <w:pPr>
        <w:widowControl w:val="0"/>
        <w:autoSpaceDE w:val="0"/>
        <w:autoSpaceDN w:val="0"/>
        <w:adjustRightInd w:val="0"/>
      </w:pPr>
      <w:r>
        <w:rPr>
          <w:b/>
          <w:bCs/>
        </w:rPr>
        <w:t>Section 1225.850  Rail Inflation-Based Rate Increases</w:t>
      </w:r>
      <w:r>
        <w:t xml:space="preserve"> </w:t>
      </w:r>
    </w:p>
    <w:p w:rsidR="005445FB" w:rsidRDefault="005445FB" w:rsidP="005445FB">
      <w:pPr>
        <w:widowControl w:val="0"/>
        <w:autoSpaceDE w:val="0"/>
        <w:autoSpaceDN w:val="0"/>
        <w:adjustRightInd w:val="0"/>
      </w:pPr>
    </w:p>
    <w:p w:rsidR="005445FB" w:rsidRDefault="005445FB" w:rsidP="005445FB">
      <w:pPr>
        <w:widowControl w:val="0"/>
        <w:autoSpaceDE w:val="0"/>
        <w:autoSpaceDN w:val="0"/>
        <w:adjustRightInd w:val="0"/>
        <w:ind w:left="1440" w:hanging="720"/>
      </w:pPr>
      <w:r>
        <w:t>a)</w:t>
      </w:r>
      <w:r>
        <w:tab/>
        <w:t xml:space="preserve">Rail carriers or their agents may publish cost recovery tariffs in master tariff format to provide increases in rail rates and charges as authorized by the ICC pursuant to the provisions of 49 U.S.C. 10712. </w:t>
      </w:r>
    </w:p>
    <w:p w:rsidR="00711D4D" w:rsidRDefault="00711D4D" w:rsidP="005445FB">
      <w:pPr>
        <w:widowControl w:val="0"/>
        <w:autoSpaceDE w:val="0"/>
        <w:autoSpaceDN w:val="0"/>
        <w:adjustRightInd w:val="0"/>
        <w:ind w:left="1440" w:hanging="720"/>
      </w:pPr>
    </w:p>
    <w:p w:rsidR="005445FB" w:rsidRDefault="005445FB" w:rsidP="005445FB">
      <w:pPr>
        <w:widowControl w:val="0"/>
        <w:autoSpaceDE w:val="0"/>
        <w:autoSpaceDN w:val="0"/>
        <w:adjustRightInd w:val="0"/>
        <w:ind w:left="1440" w:hanging="720"/>
      </w:pPr>
      <w:r>
        <w:t>b)</w:t>
      </w:r>
      <w:r>
        <w:tab/>
        <w:t xml:space="preserve">The increases may apply to joint rates and single-line traffic to the extent adopted by individual carriers. </w:t>
      </w:r>
    </w:p>
    <w:p w:rsidR="00711D4D" w:rsidRDefault="00711D4D" w:rsidP="005445FB">
      <w:pPr>
        <w:widowControl w:val="0"/>
        <w:autoSpaceDE w:val="0"/>
        <w:autoSpaceDN w:val="0"/>
        <w:adjustRightInd w:val="0"/>
        <w:ind w:left="1440" w:hanging="720"/>
      </w:pPr>
    </w:p>
    <w:p w:rsidR="005445FB" w:rsidRDefault="005445FB" w:rsidP="005445FB">
      <w:pPr>
        <w:widowControl w:val="0"/>
        <w:autoSpaceDE w:val="0"/>
        <w:autoSpaceDN w:val="0"/>
        <w:adjustRightInd w:val="0"/>
        <w:ind w:left="1440" w:hanging="720"/>
      </w:pPr>
      <w:r>
        <w:t>c)</w:t>
      </w:r>
      <w:r>
        <w:tab/>
        <w:t xml:space="preserve">A connecting-link, blanket, other supplement or general tariff item shall connect the affected tariffs to the master tariffs. </w:t>
      </w:r>
    </w:p>
    <w:p w:rsidR="00711D4D" w:rsidRDefault="00711D4D" w:rsidP="005445FB">
      <w:pPr>
        <w:widowControl w:val="0"/>
        <w:autoSpaceDE w:val="0"/>
        <w:autoSpaceDN w:val="0"/>
        <w:adjustRightInd w:val="0"/>
        <w:ind w:left="1440" w:hanging="720"/>
      </w:pPr>
    </w:p>
    <w:p w:rsidR="005445FB" w:rsidRDefault="005445FB" w:rsidP="005445FB">
      <w:pPr>
        <w:widowControl w:val="0"/>
        <w:autoSpaceDE w:val="0"/>
        <w:autoSpaceDN w:val="0"/>
        <w:adjustRightInd w:val="0"/>
        <w:ind w:left="1440" w:hanging="720"/>
      </w:pPr>
      <w:r>
        <w:t>d)</w:t>
      </w:r>
      <w:r>
        <w:tab/>
        <w:t xml:space="preserve">All publications may be filed upon 1 day's notice, with 2-year expiration dates. </w:t>
      </w:r>
    </w:p>
    <w:p w:rsidR="00711D4D" w:rsidRDefault="00711D4D" w:rsidP="005445FB">
      <w:pPr>
        <w:widowControl w:val="0"/>
        <w:autoSpaceDE w:val="0"/>
        <w:autoSpaceDN w:val="0"/>
        <w:adjustRightInd w:val="0"/>
        <w:ind w:left="1440" w:hanging="720"/>
      </w:pPr>
    </w:p>
    <w:p w:rsidR="005445FB" w:rsidRDefault="005445FB" w:rsidP="005445FB">
      <w:pPr>
        <w:widowControl w:val="0"/>
        <w:autoSpaceDE w:val="0"/>
        <w:autoSpaceDN w:val="0"/>
        <w:adjustRightInd w:val="0"/>
        <w:ind w:left="1440" w:hanging="720"/>
      </w:pPr>
      <w:r>
        <w:t>e)</w:t>
      </w:r>
      <w:r>
        <w:tab/>
        <w:t xml:space="preserve">Annual, accumulated master tariffs may be published to expire no later than September 30 of the second calendar year following the year in which the tariff became effective, by which date all increases shall be transferred to the base tariffs.  Extension of any expiration dates may, however, be requested. </w:t>
      </w:r>
    </w:p>
    <w:p w:rsidR="00711D4D" w:rsidRDefault="00711D4D" w:rsidP="005445FB">
      <w:pPr>
        <w:widowControl w:val="0"/>
        <w:autoSpaceDE w:val="0"/>
        <w:autoSpaceDN w:val="0"/>
        <w:adjustRightInd w:val="0"/>
        <w:ind w:left="1440" w:hanging="720"/>
      </w:pPr>
    </w:p>
    <w:p w:rsidR="005445FB" w:rsidRDefault="005445FB" w:rsidP="005445FB">
      <w:pPr>
        <w:widowControl w:val="0"/>
        <w:autoSpaceDE w:val="0"/>
        <w:autoSpaceDN w:val="0"/>
        <w:adjustRightInd w:val="0"/>
        <w:ind w:left="1440" w:hanging="720"/>
      </w:pPr>
      <w:r>
        <w:t>f)</w:t>
      </w:r>
      <w:r>
        <w:tab/>
        <w:t xml:space="preserve">The master tariffs may not be amended except that new or reduced provisions may be published upon 1 day's notice. </w:t>
      </w:r>
    </w:p>
    <w:p w:rsidR="00711D4D" w:rsidRDefault="00711D4D" w:rsidP="005445FB">
      <w:pPr>
        <w:widowControl w:val="0"/>
        <w:autoSpaceDE w:val="0"/>
        <w:autoSpaceDN w:val="0"/>
        <w:adjustRightInd w:val="0"/>
        <w:ind w:left="1440" w:hanging="720"/>
      </w:pPr>
    </w:p>
    <w:p w:rsidR="005445FB" w:rsidRDefault="005445FB" w:rsidP="005445FB">
      <w:pPr>
        <w:widowControl w:val="0"/>
        <w:autoSpaceDE w:val="0"/>
        <w:autoSpaceDN w:val="0"/>
        <w:adjustRightInd w:val="0"/>
        <w:ind w:left="1440" w:hanging="720"/>
      </w:pPr>
      <w:r>
        <w:t>g)</w:t>
      </w:r>
      <w:r>
        <w:tab/>
        <w:t xml:space="preserve">The terms of Section 1225.920 as to supplemental volume are waived. Blanket supplements shall conform to the terms of Section 1225.930. </w:t>
      </w:r>
    </w:p>
    <w:sectPr w:rsidR="005445FB" w:rsidSect="005445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45FB"/>
    <w:rsid w:val="004E620A"/>
    <w:rsid w:val="005445FB"/>
    <w:rsid w:val="00711D4D"/>
    <w:rsid w:val="009548B3"/>
    <w:rsid w:val="00A22D4B"/>
    <w:rsid w:val="00B62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