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43" w:rsidRDefault="00D20743" w:rsidP="00D207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743" w:rsidRDefault="00D20743" w:rsidP="00D207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1225.610  Where to Publish Routes</w:t>
      </w:r>
      <w:r>
        <w:t xml:space="preserve"> </w:t>
      </w:r>
    </w:p>
    <w:p w:rsidR="00D20743" w:rsidRDefault="00D20743" w:rsidP="00D20743">
      <w:pPr>
        <w:widowControl w:val="0"/>
        <w:autoSpaceDE w:val="0"/>
        <w:autoSpaceDN w:val="0"/>
        <w:adjustRightInd w:val="0"/>
      </w:pPr>
    </w:p>
    <w:p w:rsidR="00D20743" w:rsidRDefault="00D20743" w:rsidP="00D20743">
      <w:pPr>
        <w:widowControl w:val="0"/>
        <w:autoSpaceDE w:val="0"/>
        <w:autoSpaceDN w:val="0"/>
        <w:adjustRightInd w:val="0"/>
      </w:pPr>
      <w:r>
        <w:t xml:space="preserve">The routes shall be published in the rate tariff, in a separate routing tariff or tariffs (a "routing guide"), or in a separate routing tariff or tariffs which are governed by an explanation of routes tariff or tariffs. Routes may be published in both rate tariffs and routing tariffs. </w:t>
      </w:r>
    </w:p>
    <w:sectPr w:rsidR="00D20743" w:rsidSect="00D20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743"/>
    <w:rsid w:val="004E620A"/>
    <w:rsid w:val="0072034F"/>
    <w:rsid w:val="00D20743"/>
    <w:rsid w:val="00ED0902"/>
    <w:rsid w:val="00F0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