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78E" w:rsidRDefault="0051378E" w:rsidP="005137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1378E" w:rsidRDefault="0051378E" w:rsidP="005137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1225.600  Inapplicability to Motor Carriers of Property</w:t>
      </w:r>
      <w:r>
        <w:t xml:space="preserve"> </w:t>
      </w:r>
    </w:p>
    <w:p w:rsidR="0051378E" w:rsidRDefault="0051378E" w:rsidP="0051378E">
      <w:pPr>
        <w:widowControl w:val="0"/>
        <w:autoSpaceDE w:val="0"/>
        <w:autoSpaceDN w:val="0"/>
        <w:adjustRightInd w:val="0"/>
      </w:pPr>
    </w:p>
    <w:p w:rsidR="0051378E" w:rsidRDefault="0051378E" w:rsidP="0051378E">
      <w:pPr>
        <w:widowControl w:val="0"/>
        <w:autoSpaceDE w:val="0"/>
        <w:autoSpaceDN w:val="0"/>
        <w:adjustRightInd w:val="0"/>
      </w:pPr>
      <w:r>
        <w:t xml:space="preserve">The provisions of Subpart G are not applicable to motor carriers of property. </w:t>
      </w:r>
    </w:p>
    <w:sectPr w:rsidR="0051378E" w:rsidSect="005137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1378E"/>
    <w:rsid w:val="004E620A"/>
    <w:rsid w:val="0051378E"/>
    <w:rsid w:val="008A5627"/>
    <w:rsid w:val="00950D6D"/>
    <w:rsid w:val="00A7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