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34" w:rsidRDefault="00154A34" w:rsidP="00154A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4A34" w:rsidRDefault="00154A34" w:rsidP="00154A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1225.545  Proportional Rates</w:t>
      </w:r>
      <w:r>
        <w:t xml:space="preserve"> </w:t>
      </w:r>
    </w:p>
    <w:p w:rsidR="00154A34" w:rsidRDefault="00154A34" w:rsidP="00154A34">
      <w:pPr>
        <w:widowControl w:val="0"/>
        <w:autoSpaceDE w:val="0"/>
        <w:autoSpaceDN w:val="0"/>
        <w:adjustRightInd w:val="0"/>
      </w:pPr>
    </w:p>
    <w:p w:rsidR="00154A34" w:rsidRDefault="00154A34" w:rsidP="00154A3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Tariffs containing proportional rates shall clearly show their application.  If a proportional rate is intended for use on traffic destined to a restricted territory or points, the territory shall be defined. </w:t>
      </w:r>
    </w:p>
    <w:p w:rsidR="002A592A" w:rsidRDefault="002A592A" w:rsidP="00154A34">
      <w:pPr>
        <w:widowControl w:val="0"/>
        <w:autoSpaceDE w:val="0"/>
        <w:autoSpaceDN w:val="0"/>
        <w:adjustRightInd w:val="0"/>
        <w:ind w:left="1440" w:hanging="720"/>
      </w:pPr>
    </w:p>
    <w:p w:rsidR="00154A34" w:rsidRDefault="00154A34" w:rsidP="00154A3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Section does not apply to contract carriers. </w:t>
      </w:r>
    </w:p>
    <w:sectPr w:rsidR="00154A34" w:rsidSect="00154A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4A34"/>
    <w:rsid w:val="00154A34"/>
    <w:rsid w:val="002A592A"/>
    <w:rsid w:val="002E20A2"/>
    <w:rsid w:val="00416B08"/>
    <w:rsid w:val="004E620A"/>
    <w:rsid w:val="00C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2012-06-22T00:05:00Z</dcterms:modified>
</cp:coreProperties>
</file>