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20" w:rsidRDefault="00332B20" w:rsidP="00332B20">
      <w:pPr>
        <w:widowControl w:val="0"/>
        <w:autoSpaceDE w:val="0"/>
        <w:autoSpaceDN w:val="0"/>
        <w:adjustRightInd w:val="0"/>
      </w:pPr>
      <w:bookmarkStart w:id="0" w:name="_GoBack"/>
      <w:bookmarkEnd w:id="0"/>
    </w:p>
    <w:p w:rsidR="00332B20" w:rsidRDefault="00332B20" w:rsidP="00332B20">
      <w:pPr>
        <w:widowControl w:val="0"/>
        <w:autoSpaceDE w:val="0"/>
        <w:autoSpaceDN w:val="0"/>
        <w:adjustRightInd w:val="0"/>
      </w:pPr>
      <w:r>
        <w:rPr>
          <w:b/>
          <w:bCs/>
        </w:rPr>
        <w:t>Section 1225.525  Commodity Rates</w:t>
      </w:r>
      <w:r>
        <w:t xml:space="preserve"> </w:t>
      </w:r>
    </w:p>
    <w:p w:rsidR="00332B20" w:rsidRDefault="00332B20" w:rsidP="00332B20">
      <w:pPr>
        <w:widowControl w:val="0"/>
        <w:autoSpaceDE w:val="0"/>
        <w:autoSpaceDN w:val="0"/>
        <w:adjustRightInd w:val="0"/>
      </w:pPr>
    </w:p>
    <w:p w:rsidR="00332B20" w:rsidRDefault="00332B20" w:rsidP="00332B20">
      <w:pPr>
        <w:widowControl w:val="0"/>
        <w:autoSpaceDE w:val="0"/>
        <w:autoSpaceDN w:val="0"/>
        <w:adjustRightInd w:val="0"/>
      </w:pPr>
      <w:r>
        <w:t xml:space="preserve">Except as otherwise provided in Sections 1225.535 and 1225.540, when commodity rates are established, the commodity description shall be specific and the rates may not be applied to analogous articles unless so provided.  As far as possible, uniform commodity descriptions should be used in all tariffs. </w:t>
      </w:r>
    </w:p>
    <w:sectPr w:rsidR="00332B20" w:rsidSect="00332B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2B20"/>
    <w:rsid w:val="00241CBB"/>
    <w:rsid w:val="00332B20"/>
    <w:rsid w:val="003E5595"/>
    <w:rsid w:val="004E620A"/>
    <w:rsid w:val="00860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