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DC" w:rsidRDefault="00326DDC" w:rsidP="00326DDC">
      <w:pPr>
        <w:widowControl w:val="0"/>
        <w:autoSpaceDE w:val="0"/>
        <w:autoSpaceDN w:val="0"/>
        <w:adjustRightInd w:val="0"/>
      </w:pPr>
      <w:bookmarkStart w:id="0" w:name="_GoBack"/>
      <w:bookmarkEnd w:id="0"/>
    </w:p>
    <w:p w:rsidR="00326DDC" w:rsidRDefault="00326DDC" w:rsidP="00326DDC">
      <w:pPr>
        <w:widowControl w:val="0"/>
        <w:autoSpaceDE w:val="0"/>
        <w:autoSpaceDN w:val="0"/>
        <w:adjustRightInd w:val="0"/>
      </w:pPr>
      <w:r>
        <w:rPr>
          <w:b/>
          <w:bCs/>
        </w:rPr>
        <w:t xml:space="preserve">Section </w:t>
      </w:r>
      <w:proofErr w:type="gramStart"/>
      <w:r>
        <w:rPr>
          <w:b/>
          <w:bCs/>
        </w:rPr>
        <w:t>1225.110  Concurrences</w:t>
      </w:r>
      <w:proofErr w:type="gramEnd"/>
      <w:r>
        <w:t xml:space="preserve"> </w:t>
      </w:r>
    </w:p>
    <w:p w:rsidR="00326DDC" w:rsidRDefault="00326DDC" w:rsidP="00326DDC">
      <w:pPr>
        <w:widowControl w:val="0"/>
        <w:autoSpaceDE w:val="0"/>
        <w:autoSpaceDN w:val="0"/>
        <w:adjustRightInd w:val="0"/>
      </w:pPr>
    </w:p>
    <w:p w:rsidR="00326DDC" w:rsidRDefault="00326DDC" w:rsidP="00326DDC">
      <w:pPr>
        <w:widowControl w:val="0"/>
        <w:autoSpaceDE w:val="0"/>
        <w:autoSpaceDN w:val="0"/>
        <w:adjustRightInd w:val="0"/>
        <w:ind w:left="1440" w:hanging="720"/>
      </w:pPr>
      <w:r>
        <w:t>a)</w:t>
      </w:r>
      <w:r>
        <w:tab/>
        <w:t xml:space="preserve">A concurrence is used to show that one carrier has agreed to participate in joint rates or provisions published in a tariff filed by another carrier or agent. </w:t>
      </w:r>
    </w:p>
    <w:p w:rsidR="00D65E14" w:rsidRDefault="00D65E14" w:rsidP="00326DDC">
      <w:pPr>
        <w:widowControl w:val="0"/>
        <w:autoSpaceDE w:val="0"/>
        <w:autoSpaceDN w:val="0"/>
        <w:adjustRightInd w:val="0"/>
        <w:ind w:left="2160" w:hanging="720"/>
      </w:pPr>
    </w:p>
    <w:p w:rsidR="00326DDC" w:rsidRDefault="00326DDC" w:rsidP="00326DDC">
      <w:pPr>
        <w:widowControl w:val="0"/>
        <w:autoSpaceDE w:val="0"/>
        <w:autoSpaceDN w:val="0"/>
        <w:adjustRightInd w:val="0"/>
        <w:ind w:left="2160" w:hanging="720"/>
      </w:pPr>
      <w:r>
        <w:t>1)</w:t>
      </w:r>
      <w:r>
        <w:tab/>
        <w:t xml:space="preserve">A concurrence does not give a carrier authority to publish local rates or provisions for the carrier issuing the concurrence. </w:t>
      </w:r>
    </w:p>
    <w:p w:rsidR="00D65E14" w:rsidRDefault="00D65E14" w:rsidP="00326DDC">
      <w:pPr>
        <w:widowControl w:val="0"/>
        <w:autoSpaceDE w:val="0"/>
        <w:autoSpaceDN w:val="0"/>
        <w:adjustRightInd w:val="0"/>
        <w:ind w:left="2160" w:hanging="720"/>
      </w:pPr>
    </w:p>
    <w:p w:rsidR="00326DDC" w:rsidRDefault="00326DDC" w:rsidP="00326DDC">
      <w:pPr>
        <w:widowControl w:val="0"/>
        <w:autoSpaceDE w:val="0"/>
        <w:autoSpaceDN w:val="0"/>
        <w:adjustRightInd w:val="0"/>
        <w:ind w:left="2160" w:hanging="720"/>
      </w:pPr>
      <w:r>
        <w:t>2)</w:t>
      </w:r>
      <w:r>
        <w:tab/>
        <w:t xml:space="preserve">If two or more carriers execute power of attorney to the same agent, it is not necessary for those carriers to exchange concurrences. </w:t>
      </w:r>
    </w:p>
    <w:p w:rsidR="00D65E14" w:rsidRDefault="00D65E14" w:rsidP="00326DDC">
      <w:pPr>
        <w:widowControl w:val="0"/>
        <w:autoSpaceDE w:val="0"/>
        <w:autoSpaceDN w:val="0"/>
        <w:adjustRightInd w:val="0"/>
        <w:ind w:left="1440" w:hanging="720"/>
      </w:pPr>
    </w:p>
    <w:p w:rsidR="00326DDC" w:rsidRDefault="00326DDC" w:rsidP="00326DDC">
      <w:pPr>
        <w:widowControl w:val="0"/>
        <w:autoSpaceDE w:val="0"/>
        <w:autoSpaceDN w:val="0"/>
        <w:adjustRightInd w:val="0"/>
        <w:ind w:left="1440" w:hanging="720"/>
      </w:pPr>
      <w:r>
        <w:t>b)</w:t>
      </w:r>
      <w:r>
        <w:tab/>
        <w:t xml:space="preserve">Concurrences shall not be filed with the Commission, but shall be maintained and produced if requested to any person making the request. </w:t>
      </w:r>
    </w:p>
    <w:p w:rsidR="00D65E14" w:rsidRDefault="00D65E14" w:rsidP="00326DDC">
      <w:pPr>
        <w:widowControl w:val="0"/>
        <w:autoSpaceDE w:val="0"/>
        <w:autoSpaceDN w:val="0"/>
        <w:adjustRightInd w:val="0"/>
        <w:ind w:left="1440" w:hanging="720"/>
      </w:pPr>
    </w:p>
    <w:p w:rsidR="00326DDC" w:rsidRDefault="00326DDC" w:rsidP="00326DDC">
      <w:pPr>
        <w:widowControl w:val="0"/>
        <w:autoSpaceDE w:val="0"/>
        <w:autoSpaceDN w:val="0"/>
        <w:adjustRightInd w:val="0"/>
        <w:ind w:left="1440" w:hanging="720"/>
      </w:pPr>
      <w:r>
        <w:t>c)</w:t>
      </w:r>
      <w:r>
        <w:tab/>
        <w:t xml:space="preserve">Revocation or amendment of the concurrence shall be reflected through lawfully published tariff revisions effective concurrently.  In the event of failure to do so, the rates in such tariff remain applicable until lawfully changed. </w:t>
      </w:r>
    </w:p>
    <w:sectPr w:rsidR="00326DDC" w:rsidSect="00326D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6DDC"/>
    <w:rsid w:val="00326DDC"/>
    <w:rsid w:val="004E620A"/>
    <w:rsid w:val="00A7686F"/>
    <w:rsid w:val="00AF06C6"/>
    <w:rsid w:val="00D65E14"/>
    <w:rsid w:val="00D6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