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FD" w:rsidRDefault="00762AFD" w:rsidP="00762A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AFD" w:rsidRDefault="00762AFD" w:rsidP="00762A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1225.40  Concurrences and Powers of Attorney</w:t>
      </w:r>
      <w:r>
        <w:t xml:space="preserve"> </w:t>
      </w:r>
    </w:p>
    <w:p w:rsidR="00762AFD" w:rsidRDefault="00762AFD" w:rsidP="00762AFD">
      <w:pPr>
        <w:widowControl w:val="0"/>
        <w:autoSpaceDE w:val="0"/>
        <w:autoSpaceDN w:val="0"/>
        <w:adjustRightInd w:val="0"/>
      </w:pPr>
    </w:p>
    <w:p w:rsidR="00762AFD" w:rsidRDefault="00762AFD" w:rsidP="00762AFD">
      <w:pPr>
        <w:widowControl w:val="0"/>
        <w:autoSpaceDE w:val="0"/>
        <w:autoSpaceDN w:val="0"/>
        <w:adjustRightInd w:val="0"/>
      </w:pPr>
      <w:r>
        <w:t xml:space="preserve">Except for motor carriers of property, concurrences and powers of attorney shall not be filed with the Commission.  However, a carrier may not participate in a tariff issued in the name of another carrier or an agent unless a power of attorney or concurrence has been executed.  Absent effective concurrences or powers of attorney, tariffs are void.  Should a challenge to a tariff be made on this basis, carriers will be required to submit the necessary proof.  (See Subpart B). </w:t>
      </w:r>
    </w:p>
    <w:sectPr w:rsidR="00762AFD" w:rsidSect="00762A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AFD"/>
    <w:rsid w:val="000124A0"/>
    <w:rsid w:val="004E620A"/>
    <w:rsid w:val="00521556"/>
    <w:rsid w:val="00762AFD"/>
    <w:rsid w:val="00F6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