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2160" w:rsidRDefault="00152160" w:rsidP="00152160">
      <w:pPr>
        <w:widowControl w:val="0"/>
        <w:autoSpaceDE w:val="0"/>
        <w:autoSpaceDN w:val="0"/>
        <w:adjustRightInd w:val="0"/>
      </w:pPr>
      <w:bookmarkStart w:id="0" w:name="_GoBack"/>
      <w:bookmarkEnd w:id="0"/>
    </w:p>
    <w:p w:rsidR="00152160" w:rsidRDefault="00152160" w:rsidP="00152160">
      <w:pPr>
        <w:widowControl w:val="0"/>
        <w:autoSpaceDE w:val="0"/>
        <w:autoSpaceDN w:val="0"/>
        <w:adjustRightInd w:val="0"/>
      </w:pPr>
      <w:r>
        <w:rPr>
          <w:b/>
          <w:bCs/>
        </w:rPr>
        <w:t xml:space="preserve">Section 1040.40  </w:t>
      </w:r>
      <w:r w:rsidR="0020194B">
        <w:rPr>
          <w:b/>
          <w:bCs/>
        </w:rPr>
        <w:t xml:space="preserve">Suspension or Revocation for </w:t>
      </w:r>
      <w:r>
        <w:rPr>
          <w:b/>
          <w:bCs/>
        </w:rPr>
        <w:t>Repeated Convictions or Collisions</w:t>
      </w:r>
      <w:r>
        <w:t xml:space="preserve"> </w:t>
      </w:r>
    </w:p>
    <w:p w:rsidR="00152160" w:rsidRDefault="00152160" w:rsidP="00152160">
      <w:pPr>
        <w:widowControl w:val="0"/>
        <w:autoSpaceDE w:val="0"/>
        <w:autoSpaceDN w:val="0"/>
        <w:adjustRightInd w:val="0"/>
        <w:ind w:left="2160" w:hanging="720"/>
      </w:pPr>
      <w:r>
        <w:tab/>
      </w:r>
      <w:r w:rsidR="00DE691A" w:rsidDel="00DE691A">
        <w:t xml:space="preserve"> </w:t>
      </w:r>
    </w:p>
    <w:p w:rsidR="00152160" w:rsidRDefault="00631EC6" w:rsidP="008357F0">
      <w:pPr>
        <w:widowControl w:val="0"/>
        <w:autoSpaceDE w:val="0"/>
        <w:autoSpaceDN w:val="0"/>
        <w:adjustRightInd w:val="0"/>
        <w:ind w:left="1425" w:hanging="720"/>
      </w:pPr>
      <w:r>
        <w:t>a</w:t>
      </w:r>
      <w:r w:rsidR="00152160">
        <w:t>)</w:t>
      </w:r>
      <w:r w:rsidR="00152160">
        <w:tab/>
        <w:t xml:space="preserve">A person who has been repeatedly involved as a driver in motor vehicle accidents or repeatedly convicted of traffic offenses to a degree </w:t>
      </w:r>
      <w:r w:rsidR="0069512F">
        <w:t>that</w:t>
      </w:r>
      <w:r w:rsidR="00152160">
        <w:t xml:space="preserve"> indicates the lack of ability to exercise ordinary and reasonable care in the safe operation of a motor vehicle, or whose record indicates disrespect for traffic laws and the safety of other persons on the highway, shall be reviewed by the Department for possible driver's license and/or driving privilege suspension or revocation pursuant to </w:t>
      </w:r>
      <w:proofErr w:type="spellStart"/>
      <w:r w:rsidR="006017A9">
        <w:t>IVC</w:t>
      </w:r>
      <w:proofErr w:type="spellEnd"/>
      <w:r w:rsidR="006017A9">
        <w:t xml:space="preserve"> </w:t>
      </w:r>
      <w:r w:rsidR="00152160">
        <w:t>Section 6-206(a)(3).  Upon review, if a determination is made by the Department that additional convictions accumulating 90 or more points have been received after the effective date of a 12</w:t>
      </w:r>
      <w:r>
        <w:t>-</w:t>
      </w:r>
      <w:r w:rsidR="00152160">
        <w:t xml:space="preserve">month suspension or revocation entered under Section 1040.30, or under this Section and the 90 or more additional or accumulated points were a result of convictions occurring during the same period of time as </w:t>
      </w:r>
      <w:r>
        <w:t>the convictions used for the 12-</w:t>
      </w:r>
      <w:r w:rsidR="00152160">
        <w:t xml:space="preserve">month suspension, the person's driving privileges shall be revoked </w:t>
      </w:r>
      <w:r>
        <w:t>pursuant to</w:t>
      </w:r>
      <w:r w:rsidR="006017A9">
        <w:t xml:space="preserve"> </w:t>
      </w:r>
      <w:proofErr w:type="spellStart"/>
      <w:r w:rsidR="006017A9">
        <w:t>IVC</w:t>
      </w:r>
      <w:proofErr w:type="spellEnd"/>
      <w:r w:rsidR="00152160">
        <w:t xml:space="preserve"> Section 6-206(a)(3). </w:t>
      </w:r>
    </w:p>
    <w:p w:rsidR="00B06BF2" w:rsidRDefault="00B06BF2" w:rsidP="00D40EBA">
      <w:pPr>
        <w:widowControl w:val="0"/>
        <w:autoSpaceDE w:val="0"/>
        <w:autoSpaceDN w:val="0"/>
        <w:adjustRightInd w:val="0"/>
        <w:ind w:left="1425" w:hanging="720"/>
      </w:pPr>
    </w:p>
    <w:p w:rsidR="00D40EBA" w:rsidRDefault="00631EC6" w:rsidP="00D40EBA">
      <w:pPr>
        <w:widowControl w:val="0"/>
        <w:autoSpaceDE w:val="0"/>
        <w:autoSpaceDN w:val="0"/>
        <w:adjustRightInd w:val="0"/>
        <w:ind w:left="1425" w:hanging="720"/>
      </w:pPr>
      <w:r>
        <w:t>b</w:t>
      </w:r>
      <w:r w:rsidR="00152160">
        <w:t>)</w:t>
      </w:r>
      <w:r w:rsidR="00152160">
        <w:tab/>
        <w:t xml:space="preserve">A person who has been convicted of </w:t>
      </w:r>
      <w:r>
        <w:t>three</w:t>
      </w:r>
      <w:r w:rsidR="00152160">
        <w:t xml:space="preserve"> or more point assigned traffic v</w:t>
      </w:r>
      <w:r>
        <w:t>iolations committed within a 12-</w:t>
      </w:r>
      <w:r w:rsidR="00152160">
        <w:t>month period as listed in Section 1040.20 (</w:t>
      </w:r>
      <w:r w:rsidR="00D5355A">
        <w:t>Type Action</w:t>
      </w:r>
      <w:r w:rsidR="00152160">
        <w:t xml:space="preserve"> </w:t>
      </w:r>
      <w:r w:rsidR="0069512F">
        <w:t>87,</w:t>
      </w:r>
      <w:r w:rsidR="00765F55">
        <w:t xml:space="preserve"> </w:t>
      </w:r>
      <w:r w:rsidR="00152160">
        <w:t xml:space="preserve">97 or 99), excluding any conviction previously used as a basis for action, shall be identified for review for possible driver's license and/or driving privilege suspension or revocation pursuant to </w:t>
      </w:r>
      <w:proofErr w:type="spellStart"/>
      <w:r w:rsidR="006017A9">
        <w:t>IVC</w:t>
      </w:r>
      <w:proofErr w:type="spellEnd"/>
      <w:r w:rsidR="006017A9">
        <w:t xml:space="preserve"> </w:t>
      </w:r>
      <w:r w:rsidR="00152160">
        <w:t xml:space="preserve">Section 6-206(a)(3). </w:t>
      </w:r>
    </w:p>
    <w:p w:rsidR="00B06BF2" w:rsidRDefault="00B06BF2" w:rsidP="00D40EBA">
      <w:pPr>
        <w:widowControl w:val="0"/>
        <w:autoSpaceDE w:val="0"/>
        <w:autoSpaceDN w:val="0"/>
        <w:adjustRightInd w:val="0"/>
        <w:ind w:left="2166" w:hanging="720"/>
      </w:pPr>
    </w:p>
    <w:p w:rsidR="00152160" w:rsidRDefault="00152160" w:rsidP="00D40EBA">
      <w:pPr>
        <w:widowControl w:val="0"/>
        <w:autoSpaceDE w:val="0"/>
        <w:autoSpaceDN w:val="0"/>
        <w:adjustRightInd w:val="0"/>
        <w:ind w:left="2166" w:hanging="720"/>
      </w:pPr>
      <w:r>
        <w:t>1)</w:t>
      </w:r>
      <w:r>
        <w:tab/>
        <w:t xml:space="preserve">If a person's driving record indicates </w:t>
      </w:r>
      <w:r w:rsidR="00631EC6">
        <w:t>one</w:t>
      </w:r>
      <w:r>
        <w:t xml:space="preserve"> or more prior suspensions or revocations </w:t>
      </w:r>
      <w:r w:rsidR="00631EC6">
        <w:t>pursuant to</w:t>
      </w:r>
      <w:r w:rsidR="006017A9">
        <w:t xml:space="preserve"> </w:t>
      </w:r>
      <w:proofErr w:type="spellStart"/>
      <w:r w:rsidR="006017A9">
        <w:t>IVC</w:t>
      </w:r>
      <w:proofErr w:type="spellEnd"/>
      <w:r>
        <w:t xml:space="preserve"> Section 6-206(a)(3) within a </w:t>
      </w:r>
      <w:r w:rsidR="00631EC6">
        <w:t>seven-</w:t>
      </w:r>
      <w:r>
        <w:t xml:space="preserve">year period from the effective date of the revocation, the following point table shall be used to enter an order of revocation and shall be recorded to the driving record: </w:t>
      </w:r>
    </w:p>
    <w:p w:rsidR="00152160" w:rsidRDefault="00152160" w:rsidP="00152160">
      <w:pPr>
        <w:widowControl w:val="0"/>
        <w:autoSpaceDE w:val="0"/>
        <w:autoSpaceDN w:val="0"/>
        <w:adjustRightInd w:val="0"/>
        <w:ind w:left="2160" w:hanging="720"/>
      </w:pPr>
    </w:p>
    <w:p w:rsidR="00152160" w:rsidRDefault="00152160" w:rsidP="001C2F9A">
      <w:pPr>
        <w:widowControl w:val="0"/>
        <w:autoSpaceDE w:val="0"/>
        <w:autoSpaceDN w:val="0"/>
        <w:adjustRightInd w:val="0"/>
        <w:ind w:left="2160" w:right="411" w:firstLine="6"/>
        <w:jc w:val="center"/>
      </w:pPr>
      <w:r>
        <w:rPr>
          <w:u w:val="single"/>
        </w:rPr>
        <w:t>POINT TABLE</w:t>
      </w:r>
    </w:p>
    <w:p w:rsidR="00152160" w:rsidRDefault="00152160" w:rsidP="00152160">
      <w:pPr>
        <w:widowControl w:val="0"/>
        <w:autoSpaceDE w:val="0"/>
        <w:autoSpaceDN w:val="0"/>
        <w:adjustRightInd w:val="0"/>
        <w:ind w:left="2160" w:hanging="720"/>
      </w:pPr>
    </w:p>
    <w:tbl>
      <w:tblPr>
        <w:tblW w:w="0" w:type="auto"/>
        <w:tblInd w:w="3534" w:type="dxa"/>
        <w:tblLook w:val="0000" w:firstRow="0" w:lastRow="0" w:firstColumn="0" w:lastColumn="0" w:noHBand="0" w:noVBand="0"/>
      </w:tblPr>
      <w:tblGrid>
        <w:gridCol w:w="1923"/>
        <w:gridCol w:w="783"/>
        <w:gridCol w:w="1310"/>
      </w:tblGrid>
      <w:tr w:rsidR="00D40EBA" w:rsidRPr="00D40EBA" w:rsidTr="001C2F9A">
        <w:tblPrEx>
          <w:tblCellMar>
            <w:top w:w="0" w:type="dxa"/>
            <w:bottom w:w="0" w:type="dxa"/>
          </w:tblCellMar>
        </w:tblPrEx>
        <w:tc>
          <w:tcPr>
            <w:tcW w:w="1923" w:type="dxa"/>
            <w:tcBorders>
              <w:bottom w:val="single" w:sz="4" w:space="0" w:color="auto"/>
            </w:tcBorders>
          </w:tcPr>
          <w:p w:rsidR="00D40EBA" w:rsidRPr="00D40EBA" w:rsidRDefault="00D40EBA" w:rsidP="001C2F9A">
            <w:pPr>
              <w:widowControl w:val="0"/>
              <w:autoSpaceDE w:val="0"/>
              <w:autoSpaceDN w:val="0"/>
              <w:adjustRightInd w:val="0"/>
              <w:jc w:val="center"/>
            </w:pPr>
            <w:r w:rsidRPr="00D40EBA">
              <w:t>Number of Points</w:t>
            </w:r>
          </w:p>
        </w:tc>
        <w:tc>
          <w:tcPr>
            <w:tcW w:w="783" w:type="dxa"/>
          </w:tcPr>
          <w:p w:rsidR="00D40EBA" w:rsidRPr="00D40EBA" w:rsidRDefault="00D40EBA" w:rsidP="00456437">
            <w:pPr>
              <w:widowControl w:val="0"/>
              <w:autoSpaceDE w:val="0"/>
              <w:autoSpaceDN w:val="0"/>
              <w:adjustRightInd w:val="0"/>
            </w:pPr>
          </w:p>
        </w:tc>
        <w:tc>
          <w:tcPr>
            <w:tcW w:w="1310" w:type="dxa"/>
            <w:tcBorders>
              <w:bottom w:val="single" w:sz="4" w:space="0" w:color="auto"/>
            </w:tcBorders>
          </w:tcPr>
          <w:p w:rsidR="00D40EBA" w:rsidRPr="00D40EBA" w:rsidRDefault="00D40EBA" w:rsidP="001C2F9A">
            <w:pPr>
              <w:widowControl w:val="0"/>
              <w:autoSpaceDE w:val="0"/>
              <w:autoSpaceDN w:val="0"/>
              <w:adjustRightInd w:val="0"/>
              <w:jc w:val="center"/>
            </w:pPr>
            <w:r w:rsidRPr="00D40EBA">
              <w:t>Action</w:t>
            </w:r>
          </w:p>
        </w:tc>
      </w:tr>
      <w:tr w:rsidR="00D40EBA" w:rsidRPr="00D40EBA" w:rsidTr="001C2F9A">
        <w:tblPrEx>
          <w:tblCellMar>
            <w:top w:w="0" w:type="dxa"/>
            <w:bottom w:w="0" w:type="dxa"/>
          </w:tblCellMar>
        </w:tblPrEx>
        <w:tc>
          <w:tcPr>
            <w:tcW w:w="1923" w:type="dxa"/>
            <w:tcBorders>
              <w:top w:val="single" w:sz="4" w:space="0" w:color="auto"/>
            </w:tcBorders>
          </w:tcPr>
          <w:p w:rsidR="00D40EBA" w:rsidRPr="00D40EBA" w:rsidRDefault="00D40EBA" w:rsidP="00A10AFB">
            <w:pPr>
              <w:widowControl w:val="0"/>
              <w:autoSpaceDE w:val="0"/>
              <w:autoSpaceDN w:val="0"/>
              <w:adjustRightInd w:val="0"/>
            </w:pPr>
            <w:r w:rsidRPr="00D40EBA">
              <w:t xml:space="preserve"> </w:t>
            </w:r>
          </w:p>
        </w:tc>
        <w:tc>
          <w:tcPr>
            <w:tcW w:w="783" w:type="dxa"/>
          </w:tcPr>
          <w:p w:rsidR="00D40EBA" w:rsidRPr="00D40EBA" w:rsidRDefault="00D40EBA" w:rsidP="00456437">
            <w:pPr>
              <w:widowControl w:val="0"/>
              <w:autoSpaceDE w:val="0"/>
              <w:autoSpaceDN w:val="0"/>
              <w:adjustRightInd w:val="0"/>
            </w:pPr>
          </w:p>
        </w:tc>
        <w:tc>
          <w:tcPr>
            <w:tcW w:w="1310" w:type="dxa"/>
            <w:tcBorders>
              <w:top w:val="single" w:sz="4" w:space="0" w:color="auto"/>
            </w:tcBorders>
          </w:tcPr>
          <w:p w:rsidR="00D40EBA" w:rsidRPr="00D40EBA" w:rsidRDefault="00D40EBA" w:rsidP="00A10AFB">
            <w:pPr>
              <w:widowControl w:val="0"/>
              <w:autoSpaceDE w:val="0"/>
              <w:autoSpaceDN w:val="0"/>
              <w:adjustRightInd w:val="0"/>
            </w:pPr>
          </w:p>
        </w:tc>
      </w:tr>
      <w:tr w:rsidR="00D40EBA" w:rsidRPr="00D40EBA" w:rsidTr="001C2F9A">
        <w:tblPrEx>
          <w:tblCellMar>
            <w:top w:w="0" w:type="dxa"/>
            <w:bottom w:w="0" w:type="dxa"/>
          </w:tblCellMar>
        </w:tblPrEx>
        <w:tc>
          <w:tcPr>
            <w:tcW w:w="1923" w:type="dxa"/>
          </w:tcPr>
          <w:p w:rsidR="00D40EBA" w:rsidRPr="00D40EBA" w:rsidRDefault="00D40EBA" w:rsidP="00A10AFB">
            <w:pPr>
              <w:widowControl w:val="0"/>
              <w:autoSpaceDE w:val="0"/>
              <w:autoSpaceDN w:val="0"/>
              <w:adjustRightInd w:val="0"/>
            </w:pPr>
            <w:r w:rsidRPr="00D40EBA">
              <w:t>0 through 14</w:t>
            </w:r>
          </w:p>
        </w:tc>
        <w:tc>
          <w:tcPr>
            <w:tcW w:w="783" w:type="dxa"/>
          </w:tcPr>
          <w:p w:rsidR="00D40EBA" w:rsidRPr="00D40EBA" w:rsidRDefault="00D40EBA" w:rsidP="00456437">
            <w:pPr>
              <w:widowControl w:val="0"/>
              <w:autoSpaceDE w:val="0"/>
              <w:autoSpaceDN w:val="0"/>
              <w:adjustRightInd w:val="0"/>
            </w:pPr>
          </w:p>
        </w:tc>
        <w:tc>
          <w:tcPr>
            <w:tcW w:w="1310" w:type="dxa"/>
          </w:tcPr>
          <w:p w:rsidR="00D40EBA" w:rsidRPr="00D40EBA" w:rsidRDefault="00D40EBA" w:rsidP="00A10AFB">
            <w:pPr>
              <w:widowControl w:val="0"/>
              <w:autoSpaceDE w:val="0"/>
              <w:autoSpaceDN w:val="0"/>
              <w:adjustRightInd w:val="0"/>
            </w:pPr>
            <w:r w:rsidRPr="00D40EBA">
              <w:t>No Action</w:t>
            </w:r>
          </w:p>
        </w:tc>
      </w:tr>
      <w:tr w:rsidR="00D40EBA" w:rsidRPr="00D40EBA" w:rsidTr="001C2F9A">
        <w:tblPrEx>
          <w:tblCellMar>
            <w:top w:w="0" w:type="dxa"/>
            <w:bottom w:w="0" w:type="dxa"/>
          </w:tblCellMar>
        </w:tblPrEx>
        <w:tc>
          <w:tcPr>
            <w:tcW w:w="1923" w:type="dxa"/>
          </w:tcPr>
          <w:p w:rsidR="00D40EBA" w:rsidRPr="00D40EBA" w:rsidRDefault="00D40EBA" w:rsidP="00A10AFB">
            <w:pPr>
              <w:widowControl w:val="0"/>
              <w:autoSpaceDE w:val="0"/>
              <w:autoSpaceDN w:val="0"/>
              <w:adjustRightInd w:val="0"/>
            </w:pPr>
            <w:r w:rsidRPr="00D40EBA">
              <w:t>15 or more</w:t>
            </w:r>
          </w:p>
        </w:tc>
        <w:tc>
          <w:tcPr>
            <w:tcW w:w="783" w:type="dxa"/>
          </w:tcPr>
          <w:p w:rsidR="00D40EBA" w:rsidRPr="00D40EBA" w:rsidRDefault="00D40EBA" w:rsidP="00456437">
            <w:pPr>
              <w:widowControl w:val="0"/>
              <w:autoSpaceDE w:val="0"/>
              <w:autoSpaceDN w:val="0"/>
              <w:adjustRightInd w:val="0"/>
            </w:pPr>
          </w:p>
        </w:tc>
        <w:tc>
          <w:tcPr>
            <w:tcW w:w="1310" w:type="dxa"/>
          </w:tcPr>
          <w:p w:rsidR="00D40EBA" w:rsidRPr="00D40EBA" w:rsidRDefault="00D40EBA" w:rsidP="00A10AFB">
            <w:pPr>
              <w:widowControl w:val="0"/>
              <w:autoSpaceDE w:val="0"/>
              <w:autoSpaceDN w:val="0"/>
              <w:adjustRightInd w:val="0"/>
            </w:pPr>
            <w:r w:rsidRPr="00D40EBA">
              <w:t>Revocation</w:t>
            </w:r>
          </w:p>
        </w:tc>
      </w:tr>
    </w:tbl>
    <w:p w:rsidR="00D40EBA" w:rsidRDefault="00D40EBA" w:rsidP="00152160">
      <w:pPr>
        <w:widowControl w:val="0"/>
        <w:autoSpaceDE w:val="0"/>
        <w:autoSpaceDN w:val="0"/>
        <w:adjustRightInd w:val="0"/>
        <w:ind w:left="2160" w:hanging="720"/>
      </w:pPr>
    </w:p>
    <w:p w:rsidR="00152160" w:rsidRDefault="00152160" w:rsidP="00152160">
      <w:pPr>
        <w:widowControl w:val="0"/>
        <w:autoSpaceDE w:val="0"/>
        <w:autoSpaceDN w:val="0"/>
        <w:adjustRightInd w:val="0"/>
        <w:ind w:left="2160" w:hanging="720"/>
      </w:pPr>
      <w:r>
        <w:t>2)</w:t>
      </w:r>
      <w:r>
        <w:tab/>
        <w:t xml:space="preserve">If a person's driving record indicates </w:t>
      </w:r>
      <w:r w:rsidR="00631EC6">
        <w:t>two</w:t>
      </w:r>
      <w:r>
        <w:t xml:space="preserve"> or more prior suspensions or revocations within a </w:t>
      </w:r>
      <w:r w:rsidR="00631EC6">
        <w:t>seven-</w:t>
      </w:r>
      <w:r>
        <w:t xml:space="preserve">year period from the effective date of the suspension or revocation, excluding miscellaneous suspensions and suspensions or revocations </w:t>
      </w:r>
      <w:r w:rsidR="00631EC6">
        <w:t>pursuant to</w:t>
      </w:r>
      <w:r w:rsidR="006017A9">
        <w:t xml:space="preserve"> </w:t>
      </w:r>
      <w:proofErr w:type="spellStart"/>
      <w:r w:rsidR="006017A9">
        <w:t>IVC</w:t>
      </w:r>
      <w:proofErr w:type="spellEnd"/>
      <w:r>
        <w:t xml:space="preserve"> Section 6-206(a)(3), the following point table shall be used in computing whether an order of suspension or revocation is to be entered and recorded to the driving record:   </w:t>
      </w:r>
    </w:p>
    <w:p w:rsidR="00D40EBA" w:rsidRDefault="00D40EBA" w:rsidP="00152160">
      <w:pPr>
        <w:widowControl w:val="0"/>
        <w:autoSpaceDE w:val="0"/>
        <w:autoSpaceDN w:val="0"/>
        <w:adjustRightInd w:val="0"/>
        <w:ind w:left="2160" w:hanging="720"/>
      </w:pPr>
    </w:p>
    <w:p w:rsidR="00D40EBA" w:rsidRDefault="00D40EBA" w:rsidP="001C2F9A">
      <w:pPr>
        <w:widowControl w:val="0"/>
        <w:autoSpaceDE w:val="0"/>
        <w:autoSpaceDN w:val="0"/>
        <w:adjustRightInd w:val="0"/>
        <w:ind w:left="3015" w:right="1152" w:firstLine="6"/>
        <w:jc w:val="center"/>
      </w:pPr>
      <w:r>
        <w:rPr>
          <w:u w:val="single"/>
        </w:rPr>
        <w:t>POINT TABLE</w:t>
      </w:r>
    </w:p>
    <w:p w:rsidR="00D40EBA" w:rsidRDefault="00D40EBA" w:rsidP="00D40EBA">
      <w:pPr>
        <w:widowControl w:val="0"/>
        <w:autoSpaceDE w:val="0"/>
        <w:autoSpaceDN w:val="0"/>
        <w:adjustRightInd w:val="0"/>
        <w:ind w:left="2160" w:hanging="720"/>
      </w:pPr>
    </w:p>
    <w:tbl>
      <w:tblPr>
        <w:tblW w:w="0" w:type="auto"/>
        <w:tblInd w:w="3135" w:type="dxa"/>
        <w:tblLook w:val="0000" w:firstRow="0" w:lastRow="0" w:firstColumn="0" w:lastColumn="0" w:noHBand="0" w:noVBand="0"/>
      </w:tblPr>
      <w:tblGrid>
        <w:gridCol w:w="2394"/>
        <w:gridCol w:w="342"/>
        <w:gridCol w:w="2445"/>
      </w:tblGrid>
      <w:tr w:rsidR="00D40EBA" w:rsidRPr="00D40EBA" w:rsidTr="001C2F9A">
        <w:tblPrEx>
          <w:tblCellMar>
            <w:top w:w="0" w:type="dxa"/>
            <w:bottom w:w="0" w:type="dxa"/>
          </w:tblCellMar>
        </w:tblPrEx>
        <w:tc>
          <w:tcPr>
            <w:tcW w:w="2394" w:type="dxa"/>
            <w:tcBorders>
              <w:bottom w:val="single" w:sz="4" w:space="0" w:color="auto"/>
            </w:tcBorders>
          </w:tcPr>
          <w:p w:rsidR="00D40EBA" w:rsidRPr="00D40EBA" w:rsidRDefault="00D40EBA" w:rsidP="001C2F9A">
            <w:pPr>
              <w:widowControl w:val="0"/>
              <w:autoSpaceDE w:val="0"/>
              <w:autoSpaceDN w:val="0"/>
              <w:adjustRightInd w:val="0"/>
              <w:jc w:val="center"/>
            </w:pPr>
            <w:r w:rsidRPr="00D40EBA">
              <w:lastRenderedPageBreak/>
              <w:t>Number of Points</w:t>
            </w:r>
          </w:p>
        </w:tc>
        <w:tc>
          <w:tcPr>
            <w:tcW w:w="342" w:type="dxa"/>
          </w:tcPr>
          <w:p w:rsidR="00D40EBA" w:rsidRPr="00D40EBA" w:rsidRDefault="00D40EBA" w:rsidP="001C2F9A">
            <w:pPr>
              <w:widowControl w:val="0"/>
              <w:autoSpaceDE w:val="0"/>
              <w:autoSpaceDN w:val="0"/>
              <w:adjustRightInd w:val="0"/>
              <w:jc w:val="center"/>
            </w:pPr>
          </w:p>
        </w:tc>
        <w:tc>
          <w:tcPr>
            <w:tcW w:w="2445" w:type="dxa"/>
            <w:tcBorders>
              <w:bottom w:val="single" w:sz="4" w:space="0" w:color="auto"/>
            </w:tcBorders>
          </w:tcPr>
          <w:p w:rsidR="00D40EBA" w:rsidRPr="00D40EBA" w:rsidRDefault="00D40EBA" w:rsidP="001C2F9A">
            <w:pPr>
              <w:widowControl w:val="0"/>
              <w:autoSpaceDE w:val="0"/>
              <w:autoSpaceDN w:val="0"/>
              <w:adjustRightInd w:val="0"/>
              <w:jc w:val="center"/>
            </w:pPr>
            <w:r w:rsidRPr="00D40EBA">
              <w:t>Action</w:t>
            </w:r>
          </w:p>
        </w:tc>
      </w:tr>
      <w:tr w:rsidR="00D40EBA" w:rsidRPr="00D40EBA" w:rsidTr="001C2F9A">
        <w:tblPrEx>
          <w:tblCellMar>
            <w:top w:w="0" w:type="dxa"/>
            <w:bottom w:w="0" w:type="dxa"/>
          </w:tblCellMar>
        </w:tblPrEx>
        <w:tc>
          <w:tcPr>
            <w:tcW w:w="2394" w:type="dxa"/>
            <w:tcBorders>
              <w:top w:val="single" w:sz="4" w:space="0" w:color="auto"/>
            </w:tcBorders>
          </w:tcPr>
          <w:p w:rsidR="00D40EBA" w:rsidRPr="00D40EBA" w:rsidRDefault="00D40EBA" w:rsidP="00456437">
            <w:pPr>
              <w:widowControl w:val="0"/>
              <w:autoSpaceDE w:val="0"/>
              <w:autoSpaceDN w:val="0"/>
              <w:adjustRightInd w:val="0"/>
            </w:pPr>
            <w:r w:rsidRPr="00D40EBA">
              <w:t xml:space="preserve"> </w:t>
            </w:r>
          </w:p>
        </w:tc>
        <w:tc>
          <w:tcPr>
            <w:tcW w:w="342" w:type="dxa"/>
          </w:tcPr>
          <w:p w:rsidR="00D40EBA" w:rsidRPr="00D40EBA" w:rsidRDefault="00D40EBA" w:rsidP="00456437">
            <w:pPr>
              <w:widowControl w:val="0"/>
              <w:autoSpaceDE w:val="0"/>
              <w:autoSpaceDN w:val="0"/>
              <w:adjustRightInd w:val="0"/>
            </w:pPr>
          </w:p>
        </w:tc>
        <w:tc>
          <w:tcPr>
            <w:tcW w:w="2445" w:type="dxa"/>
            <w:tcBorders>
              <w:top w:val="single" w:sz="4" w:space="0" w:color="auto"/>
            </w:tcBorders>
          </w:tcPr>
          <w:p w:rsidR="00D40EBA" w:rsidRPr="00D40EBA" w:rsidRDefault="00D40EBA" w:rsidP="00456437">
            <w:pPr>
              <w:widowControl w:val="0"/>
              <w:autoSpaceDE w:val="0"/>
              <w:autoSpaceDN w:val="0"/>
              <w:adjustRightInd w:val="0"/>
            </w:pPr>
          </w:p>
        </w:tc>
      </w:tr>
      <w:tr w:rsidR="00D40EBA" w:rsidRPr="00D40EBA" w:rsidTr="001C2F9A">
        <w:tblPrEx>
          <w:tblCellMar>
            <w:top w:w="0" w:type="dxa"/>
            <w:bottom w:w="0" w:type="dxa"/>
          </w:tblCellMar>
        </w:tblPrEx>
        <w:tc>
          <w:tcPr>
            <w:tcW w:w="2394" w:type="dxa"/>
          </w:tcPr>
          <w:p w:rsidR="00D40EBA" w:rsidRPr="00D40EBA" w:rsidRDefault="00D40EBA" w:rsidP="00456437">
            <w:pPr>
              <w:widowControl w:val="0"/>
              <w:autoSpaceDE w:val="0"/>
              <w:autoSpaceDN w:val="0"/>
              <w:adjustRightInd w:val="0"/>
            </w:pPr>
            <w:r w:rsidRPr="00D40EBA">
              <w:t>0 through 14</w:t>
            </w:r>
          </w:p>
        </w:tc>
        <w:tc>
          <w:tcPr>
            <w:tcW w:w="342" w:type="dxa"/>
          </w:tcPr>
          <w:p w:rsidR="00D40EBA" w:rsidRPr="00D40EBA" w:rsidRDefault="00D40EBA" w:rsidP="00456437">
            <w:pPr>
              <w:widowControl w:val="0"/>
              <w:autoSpaceDE w:val="0"/>
              <w:autoSpaceDN w:val="0"/>
              <w:adjustRightInd w:val="0"/>
            </w:pPr>
          </w:p>
        </w:tc>
        <w:tc>
          <w:tcPr>
            <w:tcW w:w="2445" w:type="dxa"/>
          </w:tcPr>
          <w:p w:rsidR="00D40EBA" w:rsidRPr="00D40EBA" w:rsidRDefault="00D40EBA" w:rsidP="00456437">
            <w:pPr>
              <w:widowControl w:val="0"/>
              <w:autoSpaceDE w:val="0"/>
              <w:autoSpaceDN w:val="0"/>
              <w:adjustRightInd w:val="0"/>
            </w:pPr>
            <w:r w:rsidRPr="00D40EBA">
              <w:t>No Action</w:t>
            </w:r>
          </w:p>
        </w:tc>
      </w:tr>
      <w:tr w:rsidR="00D40EBA" w:rsidRPr="00D40EBA" w:rsidTr="001C2F9A">
        <w:tblPrEx>
          <w:tblCellMar>
            <w:top w:w="0" w:type="dxa"/>
            <w:bottom w:w="0" w:type="dxa"/>
          </w:tblCellMar>
        </w:tblPrEx>
        <w:tc>
          <w:tcPr>
            <w:tcW w:w="2394" w:type="dxa"/>
          </w:tcPr>
          <w:p w:rsidR="00D40EBA" w:rsidRPr="00D40EBA" w:rsidRDefault="00D40EBA" w:rsidP="00456437">
            <w:pPr>
              <w:widowControl w:val="0"/>
              <w:autoSpaceDE w:val="0"/>
              <w:autoSpaceDN w:val="0"/>
              <w:adjustRightInd w:val="0"/>
            </w:pPr>
            <w:r>
              <w:t>15 through 109</w:t>
            </w:r>
          </w:p>
        </w:tc>
        <w:tc>
          <w:tcPr>
            <w:tcW w:w="342" w:type="dxa"/>
          </w:tcPr>
          <w:p w:rsidR="00D40EBA" w:rsidRPr="00D40EBA" w:rsidRDefault="00D40EBA" w:rsidP="00456437">
            <w:pPr>
              <w:widowControl w:val="0"/>
              <w:autoSpaceDE w:val="0"/>
              <w:autoSpaceDN w:val="0"/>
              <w:adjustRightInd w:val="0"/>
            </w:pPr>
          </w:p>
        </w:tc>
        <w:tc>
          <w:tcPr>
            <w:tcW w:w="2445" w:type="dxa"/>
          </w:tcPr>
          <w:p w:rsidR="00D40EBA" w:rsidRPr="00D40EBA" w:rsidRDefault="00631EC6" w:rsidP="00456437">
            <w:pPr>
              <w:widowControl w:val="0"/>
              <w:autoSpaceDE w:val="0"/>
              <w:autoSpaceDN w:val="0"/>
              <w:adjustRightInd w:val="0"/>
            </w:pPr>
            <w:r>
              <w:t>12-</w:t>
            </w:r>
            <w:r w:rsidR="00D40EBA">
              <w:t>month Suspension</w:t>
            </w:r>
          </w:p>
        </w:tc>
      </w:tr>
      <w:tr w:rsidR="00D40EBA" w:rsidRPr="00D40EBA" w:rsidTr="001C2F9A">
        <w:tblPrEx>
          <w:tblCellMar>
            <w:top w:w="0" w:type="dxa"/>
            <w:bottom w:w="0" w:type="dxa"/>
          </w:tblCellMar>
        </w:tblPrEx>
        <w:tc>
          <w:tcPr>
            <w:tcW w:w="2394" w:type="dxa"/>
          </w:tcPr>
          <w:p w:rsidR="00D40EBA" w:rsidRPr="00D40EBA" w:rsidRDefault="00D40EBA" w:rsidP="00456437">
            <w:pPr>
              <w:widowControl w:val="0"/>
              <w:autoSpaceDE w:val="0"/>
              <w:autoSpaceDN w:val="0"/>
              <w:adjustRightInd w:val="0"/>
            </w:pPr>
            <w:r w:rsidRPr="00D40EBA">
              <w:t>1</w:t>
            </w:r>
            <w:r>
              <w:t>10</w:t>
            </w:r>
            <w:r w:rsidRPr="00D40EBA">
              <w:t xml:space="preserve"> or more</w:t>
            </w:r>
          </w:p>
        </w:tc>
        <w:tc>
          <w:tcPr>
            <w:tcW w:w="342" w:type="dxa"/>
          </w:tcPr>
          <w:p w:rsidR="00D40EBA" w:rsidRPr="00D40EBA" w:rsidRDefault="00D40EBA" w:rsidP="00456437">
            <w:pPr>
              <w:widowControl w:val="0"/>
              <w:autoSpaceDE w:val="0"/>
              <w:autoSpaceDN w:val="0"/>
              <w:adjustRightInd w:val="0"/>
            </w:pPr>
          </w:p>
        </w:tc>
        <w:tc>
          <w:tcPr>
            <w:tcW w:w="2445" w:type="dxa"/>
          </w:tcPr>
          <w:p w:rsidR="00D40EBA" w:rsidRPr="00D40EBA" w:rsidRDefault="00D40EBA" w:rsidP="00456437">
            <w:pPr>
              <w:widowControl w:val="0"/>
              <w:autoSpaceDE w:val="0"/>
              <w:autoSpaceDN w:val="0"/>
              <w:adjustRightInd w:val="0"/>
            </w:pPr>
            <w:r w:rsidRPr="00D40EBA">
              <w:t>Revocation</w:t>
            </w:r>
          </w:p>
        </w:tc>
      </w:tr>
    </w:tbl>
    <w:p w:rsidR="00152160" w:rsidRDefault="00D40EBA" w:rsidP="00152160">
      <w:pPr>
        <w:widowControl w:val="0"/>
        <w:autoSpaceDE w:val="0"/>
        <w:autoSpaceDN w:val="0"/>
        <w:adjustRightInd w:val="0"/>
        <w:ind w:left="2160" w:hanging="720"/>
      </w:pPr>
      <w:r>
        <w:t xml:space="preserve"> </w:t>
      </w:r>
    </w:p>
    <w:p w:rsidR="00D40EBA" w:rsidRDefault="00152160" w:rsidP="00152160">
      <w:pPr>
        <w:widowControl w:val="0"/>
        <w:autoSpaceDE w:val="0"/>
        <w:autoSpaceDN w:val="0"/>
        <w:adjustRightInd w:val="0"/>
        <w:ind w:left="2160" w:hanging="720"/>
      </w:pPr>
      <w:r>
        <w:t>3)</w:t>
      </w:r>
      <w:r>
        <w:tab/>
        <w:t xml:space="preserve">If a person has a point total </w:t>
      </w:r>
      <w:r w:rsidR="00631EC6">
        <w:t>that</w:t>
      </w:r>
      <w:r>
        <w:t xml:space="preserve"> exceeds 109 and more than </w:t>
      </w:r>
      <w:r w:rsidR="00631EC6">
        <w:t>six</w:t>
      </w:r>
      <w:r>
        <w:t xml:space="preserve"> months has elapsed between the time of the last conviction date and the effective date of the order of revocation, an order of revocation shall be entered and recorded to the driving record. </w:t>
      </w:r>
    </w:p>
    <w:p w:rsidR="00B06BF2" w:rsidRDefault="00B06BF2" w:rsidP="00152160">
      <w:pPr>
        <w:widowControl w:val="0"/>
        <w:autoSpaceDE w:val="0"/>
        <w:autoSpaceDN w:val="0"/>
        <w:adjustRightInd w:val="0"/>
        <w:ind w:left="2160" w:hanging="720"/>
      </w:pPr>
    </w:p>
    <w:p w:rsidR="00152160" w:rsidRDefault="00152160" w:rsidP="00152160">
      <w:pPr>
        <w:widowControl w:val="0"/>
        <w:autoSpaceDE w:val="0"/>
        <w:autoSpaceDN w:val="0"/>
        <w:adjustRightInd w:val="0"/>
        <w:ind w:left="2160" w:hanging="720"/>
      </w:pPr>
      <w:r>
        <w:t>4)</w:t>
      </w:r>
      <w:r>
        <w:tab/>
        <w:t xml:space="preserve">Notice of suspension or revocation will be given pursuant to </w:t>
      </w:r>
      <w:proofErr w:type="spellStart"/>
      <w:r w:rsidR="006017A9">
        <w:t>IVC</w:t>
      </w:r>
      <w:proofErr w:type="spellEnd"/>
      <w:r w:rsidR="006017A9">
        <w:t xml:space="preserve"> </w:t>
      </w:r>
      <w:r w:rsidR="00765F55">
        <w:t>Sections</w:t>
      </w:r>
      <w:r>
        <w:t xml:space="preserve"> </w:t>
      </w:r>
      <w:r w:rsidR="00631EC6">
        <w:t>2-114 and 6-209</w:t>
      </w:r>
      <w:r>
        <w:t xml:space="preserve">. </w:t>
      </w:r>
    </w:p>
    <w:p w:rsidR="00B06BF2" w:rsidRDefault="00B06BF2" w:rsidP="00152160">
      <w:pPr>
        <w:widowControl w:val="0"/>
        <w:autoSpaceDE w:val="0"/>
        <w:autoSpaceDN w:val="0"/>
        <w:adjustRightInd w:val="0"/>
        <w:ind w:left="1440" w:hanging="720"/>
      </w:pPr>
    </w:p>
    <w:p w:rsidR="0069512F" w:rsidRDefault="00631EC6" w:rsidP="0069512F">
      <w:pPr>
        <w:ind w:left="1440" w:hanging="720"/>
        <w:rPr>
          <w:rFonts w:cs="Arial"/>
        </w:rPr>
      </w:pPr>
      <w:r>
        <w:rPr>
          <w:rFonts w:cs="Arial"/>
        </w:rPr>
        <w:t>c</w:t>
      </w:r>
      <w:r w:rsidR="0069512F" w:rsidRPr="00C658EB">
        <w:rPr>
          <w:rFonts w:cs="Arial"/>
        </w:rPr>
        <w:t>)</w:t>
      </w:r>
      <w:r w:rsidR="0069512F">
        <w:rPr>
          <w:rFonts w:cs="Arial"/>
        </w:rPr>
        <w:tab/>
      </w:r>
      <w:r w:rsidR="0069512F" w:rsidRPr="00C658EB">
        <w:rPr>
          <w:rFonts w:cs="Arial"/>
        </w:rPr>
        <w:t xml:space="preserve">An order of revocation shall be entered and recorded to the driving record pursuant to </w:t>
      </w:r>
      <w:proofErr w:type="spellStart"/>
      <w:r w:rsidR="006017A9">
        <w:t>IVC</w:t>
      </w:r>
      <w:proofErr w:type="spellEnd"/>
      <w:r w:rsidR="006017A9">
        <w:t xml:space="preserve"> </w:t>
      </w:r>
      <w:r w:rsidR="0069512F" w:rsidRPr="00C658EB">
        <w:rPr>
          <w:rFonts w:cs="Arial"/>
        </w:rPr>
        <w:t xml:space="preserve">Section 6-206(a)(3) if: </w:t>
      </w:r>
    </w:p>
    <w:p w:rsidR="0069512F" w:rsidRPr="00C658EB" w:rsidRDefault="0069512F" w:rsidP="0069512F">
      <w:pPr>
        <w:ind w:left="1440" w:hanging="720"/>
        <w:rPr>
          <w:rFonts w:cs="Arial"/>
        </w:rPr>
      </w:pPr>
    </w:p>
    <w:p w:rsidR="0069512F" w:rsidRDefault="0069512F" w:rsidP="0069512F">
      <w:pPr>
        <w:ind w:left="2115" w:hanging="690"/>
        <w:rPr>
          <w:rFonts w:cs="Arial"/>
        </w:rPr>
      </w:pPr>
      <w:r>
        <w:rPr>
          <w:rFonts w:cs="Arial"/>
        </w:rPr>
        <w:t>1)</w:t>
      </w:r>
      <w:r>
        <w:rPr>
          <w:rFonts w:cs="Arial"/>
        </w:rPr>
        <w:tab/>
      </w:r>
      <w:r w:rsidRPr="00C658EB">
        <w:rPr>
          <w:rFonts w:cs="Arial"/>
        </w:rPr>
        <w:t xml:space="preserve">The person has a 12-month suspension or revocation in effect pursuant to </w:t>
      </w:r>
      <w:proofErr w:type="spellStart"/>
      <w:r w:rsidR="006017A9">
        <w:t>IVC</w:t>
      </w:r>
      <w:proofErr w:type="spellEnd"/>
      <w:r w:rsidR="006017A9">
        <w:t xml:space="preserve"> </w:t>
      </w:r>
      <w:r w:rsidRPr="00C658EB">
        <w:rPr>
          <w:rFonts w:cs="Arial"/>
        </w:rPr>
        <w:t xml:space="preserve">Section 6-206(a)(36); and </w:t>
      </w:r>
    </w:p>
    <w:p w:rsidR="0069512F" w:rsidRPr="00C658EB" w:rsidRDefault="0069512F" w:rsidP="0069512F">
      <w:pPr>
        <w:ind w:left="2115" w:hanging="690"/>
        <w:rPr>
          <w:rFonts w:cs="Arial"/>
        </w:rPr>
      </w:pPr>
    </w:p>
    <w:p w:rsidR="0069512F" w:rsidRDefault="0069512F" w:rsidP="0069512F">
      <w:pPr>
        <w:ind w:left="2115" w:hanging="690"/>
        <w:rPr>
          <w:rFonts w:cs="Arial"/>
        </w:rPr>
      </w:pPr>
      <w:r>
        <w:rPr>
          <w:rFonts w:cs="Arial"/>
        </w:rPr>
        <w:t>2)</w:t>
      </w:r>
      <w:r>
        <w:rPr>
          <w:rFonts w:cs="Arial"/>
        </w:rPr>
        <w:tab/>
      </w:r>
      <w:r w:rsidRPr="00C658EB">
        <w:rPr>
          <w:rFonts w:cs="Arial"/>
        </w:rPr>
        <w:t xml:space="preserve">During the same 24-month period, the person is convicted of </w:t>
      </w:r>
      <w:r w:rsidR="00631EC6">
        <w:rPr>
          <w:rFonts w:cs="Arial"/>
        </w:rPr>
        <w:t>two</w:t>
      </w:r>
      <w:r w:rsidRPr="00C658EB">
        <w:rPr>
          <w:rFonts w:cs="Arial"/>
        </w:rPr>
        <w:t xml:space="preserve"> or more point-assigned traffic violations totaling 65 or more points (</w:t>
      </w:r>
      <w:r w:rsidR="00D5355A">
        <w:rPr>
          <w:rFonts w:cs="Arial"/>
        </w:rPr>
        <w:t>Type Action</w:t>
      </w:r>
      <w:r w:rsidRPr="00C658EB">
        <w:rPr>
          <w:rFonts w:cs="Arial"/>
        </w:rPr>
        <w:t xml:space="preserve"> 87, 97 or 99), excluding any conviction previously used as a basis for a suspension or revocation; and</w:t>
      </w:r>
    </w:p>
    <w:p w:rsidR="0069512F" w:rsidRPr="00C658EB" w:rsidRDefault="0069512F" w:rsidP="0069512F">
      <w:pPr>
        <w:ind w:left="2115" w:hanging="690"/>
        <w:rPr>
          <w:rFonts w:cs="Arial"/>
        </w:rPr>
      </w:pPr>
    </w:p>
    <w:p w:rsidR="0069512F" w:rsidRPr="00C658EB" w:rsidRDefault="0069512F" w:rsidP="0069512F">
      <w:pPr>
        <w:ind w:left="2166" w:hanging="741"/>
        <w:rPr>
          <w:rFonts w:cs="Arial"/>
        </w:rPr>
      </w:pPr>
      <w:r>
        <w:rPr>
          <w:rFonts w:cs="Arial"/>
        </w:rPr>
        <w:t>3)</w:t>
      </w:r>
      <w:r>
        <w:rPr>
          <w:rFonts w:cs="Arial"/>
        </w:rPr>
        <w:tab/>
      </w:r>
      <w:r w:rsidRPr="00C658EB">
        <w:rPr>
          <w:rFonts w:cs="Arial"/>
        </w:rPr>
        <w:t xml:space="preserve">The person was under age 21 at the time the point-assigned traffic violations occurred. </w:t>
      </w:r>
    </w:p>
    <w:p w:rsidR="00C14FFB" w:rsidRDefault="00C14FFB" w:rsidP="002B696E">
      <w:pPr>
        <w:ind w:left="1440" w:hanging="720"/>
        <w:rPr>
          <w:rFonts w:cs="Arial"/>
        </w:rPr>
      </w:pPr>
    </w:p>
    <w:p w:rsidR="002B696E" w:rsidRDefault="00631EC6" w:rsidP="002B696E">
      <w:pPr>
        <w:ind w:left="1440" w:hanging="720"/>
        <w:rPr>
          <w:rFonts w:cs="Arial"/>
        </w:rPr>
      </w:pPr>
      <w:r>
        <w:rPr>
          <w:rFonts w:cs="Arial"/>
        </w:rPr>
        <w:t>d</w:t>
      </w:r>
      <w:r w:rsidR="002B696E" w:rsidRPr="000552A8">
        <w:rPr>
          <w:rFonts w:cs="Arial"/>
        </w:rPr>
        <w:t>)</w:t>
      </w:r>
      <w:r w:rsidR="002B696E">
        <w:rPr>
          <w:rFonts w:cs="Arial"/>
        </w:rPr>
        <w:tab/>
      </w:r>
      <w:r w:rsidR="002B696E" w:rsidRPr="000552A8">
        <w:rPr>
          <w:rFonts w:cs="Arial"/>
        </w:rPr>
        <w:t xml:space="preserve">An order of revocation shall be entered and recorded to the driving record pursuant to </w:t>
      </w:r>
      <w:proofErr w:type="spellStart"/>
      <w:r w:rsidR="00A56516">
        <w:rPr>
          <w:rFonts w:cs="Arial"/>
        </w:rPr>
        <w:t>IVC</w:t>
      </w:r>
      <w:proofErr w:type="spellEnd"/>
      <w:r w:rsidR="00A56516">
        <w:rPr>
          <w:rFonts w:cs="Arial"/>
        </w:rPr>
        <w:t xml:space="preserve"> </w:t>
      </w:r>
      <w:r w:rsidR="002B696E" w:rsidRPr="000552A8">
        <w:rPr>
          <w:rFonts w:cs="Arial"/>
        </w:rPr>
        <w:t>Section 6-206(a)(3) if:</w:t>
      </w:r>
    </w:p>
    <w:p w:rsidR="002B696E" w:rsidRPr="000552A8" w:rsidRDefault="002B696E" w:rsidP="002B696E">
      <w:pPr>
        <w:ind w:left="1440" w:hanging="720"/>
        <w:rPr>
          <w:rFonts w:cs="Arial"/>
        </w:rPr>
      </w:pPr>
    </w:p>
    <w:p w:rsidR="002B696E" w:rsidRDefault="002B696E" w:rsidP="002B696E">
      <w:pPr>
        <w:tabs>
          <w:tab w:val="left" w:pos="2244"/>
        </w:tabs>
        <w:ind w:left="2166" w:hanging="741"/>
        <w:rPr>
          <w:rFonts w:cs="Arial"/>
        </w:rPr>
      </w:pPr>
      <w:r>
        <w:rPr>
          <w:rFonts w:cs="Arial"/>
        </w:rPr>
        <w:t>1)</w:t>
      </w:r>
      <w:r>
        <w:rPr>
          <w:rFonts w:cs="Arial"/>
        </w:rPr>
        <w:tab/>
      </w:r>
      <w:r w:rsidRPr="000552A8">
        <w:rPr>
          <w:rFonts w:cs="Arial"/>
        </w:rPr>
        <w:t xml:space="preserve">The person is convicted of </w:t>
      </w:r>
      <w:r w:rsidR="00631EC6">
        <w:rPr>
          <w:rFonts w:cs="Arial"/>
        </w:rPr>
        <w:t>two</w:t>
      </w:r>
      <w:r w:rsidRPr="000552A8">
        <w:rPr>
          <w:rFonts w:cs="Arial"/>
        </w:rPr>
        <w:t xml:space="preserve"> or more points assigned traffic violations</w:t>
      </w:r>
      <w:r w:rsidR="00631EC6">
        <w:rPr>
          <w:rFonts w:cs="Arial"/>
        </w:rPr>
        <w:t xml:space="preserve"> </w:t>
      </w:r>
      <w:r w:rsidRPr="000552A8">
        <w:rPr>
          <w:rFonts w:cs="Arial"/>
        </w:rPr>
        <w:t xml:space="preserve">committed while the person was under the age of 21; and </w:t>
      </w:r>
    </w:p>
    <w:p w:rsidR="002B696E" w:rsidRDefault="002B696E" w:rsidP="002B696E">
      <w:pPr>
        <w:tabs>
          <w:tab w:val="left" w:pos="2244"/>
        </w:tabs>
        <w:ind w:left="2166" w:hanging="741"/>
        <w:rPr>
          <w:rFonts w:cs="Arial"/>
        </w:rPr>
      </w:pPr>
    </w:p>
    <w:p w:rsidR="002B696E" w:rsidRDefault="002B696E" w:rsidP="002B696E">
      <w:pPr>
        <w:tabs>
          <w:tab w:val="left" w:pos="2244"/>
        </w:tabs>
        <w:ind w:firstLine="1425"/>
        <w:rPr>
          <w:rFonts w:cs="Arial"/>
        </w:rPr>
      </w:pPr>
      <w:r>
        <w:rPr>
          <w:rFonts w:cs="Arial"/>
        </w:rPr>
        <w:t>2)</w:t>
      </w:r>
      <w:r>
        <w:rPr>
          <w:rFonts w:cs="Arial"/>
        </w:rPr>
        <w:tab/>
      </w:r>
      <w:r w:rsidRPr="000552A8">
        <w:rPr>
          <w:rFonts w:cs="Arial"/>
        </w:rPr>
        <w:t>The point total for those convictions exceeds 79; and</w:t>
      </w:r>
    </w:p>
    <w:p w:rsidR="00266EA6" w:rsidRPr="000552A8" w:rsidRDefault="00266EA6" w:rsidP="002B696E">
      <w:pPr>
        <w:tabs>
          <w:tab w:val="left" w:pos="2244"/>
        </w:tabs>
        <w:ind w:firstLine="1425"/>
        <w:rPr>
          <w:rFonts w:cs="Arial"/>
        </w:rPr>
      </w:pPr>
    </w:p>
    <w:p w:rsidR="002B696E" w:rsidRPr="000552A8" w:rsidRDefault="002B696E" w:rsidP="002B696E">
      <w:pPr>
        <w:tabs>
          <w:tab w:val="left" w:pos="2244"/>
        </w:tabs>
        <w:ind w:left="2160" w:hanging="735"/>
        <w:rPr>
          <w:rFonts w:cs="Arial"/>
        </w:rPr>
      </w:pPr>
      <w:r>
        <w:rPr>
          <w:rFonts w:cs="Arial"/>
        </w:rPr>
        <w:t>3)</w:t>
      </w:r>
      <w:r>
        <w:rPr>
          <w:rFonts w:cs="Arial"/>
        </w:rPr>
        <w:tab/>
      </w:r>
      <w:r w:rsidRPr="000552A8">
        <w:rPr>
          <w:rFonts w:cs="Arial"/>
        </w:rPr>
        <w:t xml:space="preserve">More than </w:t>
      </w:r>
      <w:r w:rsidR="00631EC6">
        <w:rPr>
          <w:rFonts w:cs="Arial"/>
        </w:rPr>
        <w:t>six</w:t>
      </w:r>
      <w:r w:rsidRPr="000552A8">
        <w:rPr>
          <w:rFonts w:cs="Arial"/>
        </w:rPr>
        <w:t xml:space="preserve"> months have elapsed between the latest conviction date and</w:t>
      </w:r>
      <w:r w:rsidR="00631EC6">
        <w:rPr>
          <w:rFonts w:cs="Arial"/>
        </w:rPr>
        <w:t xml:space="preserve"> </w:t>
      </w:r>
      <w:r>
        <w:rPr>
          <w:rFonts w:cs="Arial"/>
        </w:rPr>
        <w:t>t</w:t>
      </w:r>
      <w:r w:rsidRPr="000552A8">
        <w:rPr>
          <w:rFonts w:cs="Arial"/>
        </w:rPr>
        <w:t>he effective date of the order of revocation.</w:t>
      </w:r>
    </w:p>
    <w:p w:rsidR="00B06BF2" w:rsidRDefault="00B06BF2" w:rsidP="00676CE0">
      <w:pPr>
        <w:widowControl w:val="0"/>
        <w:autoSpaceDE w:val="0"/>
        <w:autoSpaceDN w:val="0"/>
        <w:adjustRightInd w:val="0"/>
        <w:ind w:left="2160" w:hanging="720"/>
      </w:pPr>
    </w:p>
    <w:p w:rsidR="00152160" w:rsidRDefault="00631EC6" w:rsidP="00152160">
      <w:pPr>
        <w:widowControl w:val="0"/>
        <w:autoSpaceDE w:val="0"/>
        <w:autoSpaceDN w:val="0"/>
        <w:adjustRightInd w:val="0"/>
        <w:ind w:left="1440" w:hanging="720"/>
      </w:pPr>
      <w:r>
        <w:t>e</w:t>
      </w:r>
      <w:r w:rsidR="00765F55">
        <w:t>)</w:t>
      </w:r>
      <w:r w:rsidR="00152160">
        <w:tab/>
        <w:t xml:space="preserve">If a person has been repeatedly involved as a driver in motor vehicle accidents or repeatedly convicted of traffic offenses to a degree </w:t>
      </w:r>
      <w:r>
        <w:t>that</w:t>
      </w:r>
      <w:r w:rsidR="00152160">
        <w:t xml:space="preserve"> indicates the lack of ability to exercise ordinary and reasonable care in the safe operation of a motor vehicle or his/her driving record indicates disrespect for traffic laws and the safety of other persons on the highway, that person shall be reviewed by the Department for possible driver's license and/or driving privilege revocation pursuant to </w:t>
      </w:r>
      <w:proofErr w:type="spellStart"/>
      <w:r w:rsidR="006017A9">
        <w:t>IVC</w:t>
      </w:r>
      <w:proofErr w:type="spellEnd"/>
      <w:r w:rsidR="006017A9">
        <w:t xml:space="preserve"> </w:t>
      </w:r>
      <w:r w:rsidR="00152160">
        <w:t>Section 6-206(a)(3).  Upon review, if a determination is made by the Department that additional convictions accumulating 65 or more points have been received a</w:t>
      </w:r>
      <w:r>
        <w:t>fter the effective date of a 12-</w:t>
      </w:r>
      <w:r w:rsidR="00152160">
        <w:t xml:space="preserve">month suspension or revocation entered under Section 1040.29 and the 65 or more additional or accumulated points were a result of convictions occurring during the same period of time as </w:t>
      </w:r>
      <w:r>
        <w:t>the convictions used for the 12-</w:t>
      </w:r>
      <w:r w:rsidR="00152160">
        <w:t xml:space="preserve">month suspension or revocation, that person's driving privileges shall be revoked </w:t>
      </w:r>
      <w:r>
        <w:t>pursuant to</w:t>
      </w:r>
      <w:r w:rsidR="00152160">
        <w:t xml:space="preserve"> Section 6-206(a)(3). </w:t>
      </w:r>
    </w:p>
    <w:p w:rsidR="00152160" w:rsidRDefault="00152160" w:rsidP="00152160">
      <w:pPr>
        <w:widowControl w:val="0"/>
        <w:autoSpaceDE w:val="0"/>
        <w:autoSpaceDN w:val="0"/>
        <w:adjustRightInd w:val="0"/>
        <w:ind w:left="1440" w:hanging="720"/>
      </w:pPr>
    </w:p>
    <w:p w:rsidR="00631EC6" w:rsidRPr="00D55B37" w:rsidRDefault="00631EC6">
      <w:pPr>
        <w:pStyle w:val="JCARSourceNote"/>
        <w:ind w:left="720"/>
      </w:pPr>
      <w:r w:rsidRPr="00D55B37">
        <w:t xml:space="preserve">(Source:  </w:t>
      </w:r>
      <w:r>
        <w:t>Amended</w:t>
      </w:r>
      <w:r w:rsidRPr="00D55B37">
        <w:t xml:space="preserve"> at </w:t>
      </w:r>
      <w:r>
        <w:t>3</w:t>
      </w:r>
      <w:r w:rsidR="008D0822">
        <w:t>3</w:t>
      </w:r>
      <w:r>
        <w:t xml:space="preserve"> I</w:t>
      </w:r>
      <w:r w:rsidRPr="00D55B37">
        <w:t xml:space="preserve">ll. Reg. </w:t>
      </w:r>
      <w:r w:rsidR="00713E89">
        <w:t>2603</w:t>
      </w:r>
      <w:r w:rsidRPr="00D55B37">
        <w:t xml:space="preserve">, effective </w:t>
      </w:r>
      <w:r w:rsidR="00713E89">
        <w:t>January 22, 2009</w:t>
      </w:r>
      <w:r w:rsidRPr="00D55B37">
        <w:t>)</w:t>
      </w:r>
    </w:p>
    <w:sectPr w:rsidR="00631EC6" w:rsidRPr="00D55B37" w:rsidSect="005B106C">
      <w:type w:val="continuous"/>
      <w:pgSz w:w="12240" w:h="15840"/>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3982" w:rsidRDefault="00C83982">
      <w:r>
        <w:separator/>
      </w:r>
    </w:p>
  </w:endnote>
  <w:endnote w:type="continuationSeparator" w:id="0">
    <w:p w:rsidR="00C83982" w:rsidRDefault="00C83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3982" w:rsidRDefault="00C83982">
      <w:r>
        <w:separator/>
      </w:r>
    </w:p>
  </w:footnote>
  <w:footnote w:type="continuationSeparator" w:id="0">
    <w:p w:rsidR="00C83982" w:rsidRDefault="00C839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CF6A30"/>
    <w:multiLevelType w:val="hybridMultilevel"/>
    <w:tmpl w:val="6E820B28"/>
    <w:lvl w:ilvl="0" w:tplc="D0DC3944">
      <w:start w:val="1"/>
      <w:numFmt w:val="decimal"/>
      <w:lvlText w:val="%1)"/>
      <w:lvlJc w:val="left"/>
      <w:pPr>
        <w:tabs>
          <w:tab w:val="num" w:pos="3096"/>
        </w:tabs>
        <w:ind w:left="3096" w:hanging="360"/>
      </w:pPr>
      <w:rPr>
        <w:rFonts w:hint="default"/>
      </w:rPr>
    </w:lvl>
    <w:lvl w:ilvl="1" w:tplc="04090019" w:tentative="1">
      <w:start w:val="1"/>
      <w:numFmt w:val="lowerLetter"/>
      <w:lvlText w:val="%2."/>
      <w:lvlJc w:val="left"/>
      <w:pPr>
        <w:tabs>
          <w:tab w:val="num" w:pos="3816"/>
        </w:tabs>
        <w:ind w:left="3816" w:hanging="360"/>
      </w:pPr>
    </w:lvl>
    <w:lvl w:ilvl="2" w:tplc="0409001B" w:tentative="1">
      <w:start w:val="1"/>
      <w:numFmt w:val="lowerRoman"/>
      <w:lvlText w:val="%3."/>
      <w:lvlJc w:val="right"/>
      <w:pPr>
        <w:tabs>
          <w:tab w:val="num" w:pos="4536"/>
        </w:tabs>
        <w:ind w:left="4536" w:hanging="180"/>
      </w:pPr>
    </w:lvl>
    <w:lvl w:ilvl="3" w:tplc="0409000F" w:tentative="1">
      <w:start w:val="1"/>
      <w:numFmt w:val="decimal"/>
      <w:lvlText w:val="%4."/>
      <w:lvlJc w:val="left"/>
      <w:pPr>
        <w:tabs>
          <w:tab w:val="num" w:pos="5256"/>
        </w:tabs>
        <w:ind w:left="5256" w:hanging="360"/>
      </w:pPr>
    </w:lvl>
    <w:lvl w:ilvl="4" w:tplc="04090019" w:tentative="1">
      <w:start w:val="1"/>
      <w:numFmt w:val="lowerLetter"/>
      <w:lvlText w:val="%5."/>
      <w:lvlJc w:val="left"/>
      <w:pPr>
        <w:tabs>
          <w:tab w:val="num" w:pos="5976"/>
        </w:tabs>
        <w:ind w:left="5976" w:hanging="360"/>
      </w:pPr>
    </w:lvl>
    <w:lvl w:ilvl="5" w:tplc="0409001B" w:tentative="1">
      <w:start w:val="1"/>
      <w:numFmt w:val="lowerRoman"/>
      <w:lvlText w:val="%6."/>
      <w:lvlJc w:val="right"/>
      <w:pPr>
        <w:tabs>
          <w:tab w:val="num" w:pos="6696"/>
        </w:tabs>
        <w:ind w:left="6696" w:hanging="180"/>
      </w:pPr>
    </w:lvl>
    <w:lvl w:ilvl="6" w:tplc="0409000F" w:tentative="1">
      <w:start w:val="1"/>
      <w:numFmt w:val="decimal"/>
      <w:lvlText w:val="%7."/>
      <w:lvlJc w:val="left"/>
      <w:pPr>
        <w:tabs>
          <w:tab w:val="num" w:pos="7416"/>
        </w:tabs>
        <w:ind w:left="7416" w:hanging="360"/>
      </w:pPr>
    </w:lvl>
    <w:lvl w:ilvl="7" w:tplc="04090019" w:tentative="1">
      <w:start w:val="1"/>
      <w:numFmt w:val="lowerLetter"/>
      <w:lvlText w:val="%8."/>
      <w:lvlJc w:val="left"/>
      <w:pPr>
        <w:tabs>
          <w:tab w:val="num" w:pos="8136"/>
        </w:tabs>
        <w:ind w:left="8136" w:hanging="360"/>
      </w:pPr>
    </w:lvl>
    <w:lvl w:ilvl="8" w:tplc="0409001B" w:tentative="1">
      <w:start w:val="1"/>
      <w:numFmt w:val="lowerRoman"/>
      <w:lvlText w:val="%9."/>
      <w:lvlJc w:val="right"/>
      <w:pPr>
        <w:tabs>
          <w:tab w:val="num" w:pos="8856"/>
        </w:tabs>
        <w:ind w:left="8856" w:hanging="180"/>
      </w:pPr>
    </w:lvl>
  </w:abstractNum>
  <w:abstractNum w:abstractNumId="1">
    <w:nsid w:val="2C6A24CE"/>
    <w:multiLevelType w:val="hybridMultilevel"/>
    <w:tmpl w:val="87B001AC"/>
    <w:lvl w:ilvl="0" w:tplc="6DE6ABE6">
      <w:start w:val="1"/>
      <w:numFmt w:val="decimal"/>
      <w:lvlText w:val="%1)"/>
      <w:lvlJc w:val="left"/>
      <w:pPr>
        <w:tabs>
          <w:tab w:val="num" w:pos="2115"/>
        </w:tabs>
        <w:ind w:left="2115" w:hanging="675"/>
      </w:pPr>
      <w:rPr>
        <w:rFonts w:ascii="Times New Roman" w:eastAsia="Times New Roman" w:hAnsi="Times New Roman" w:cs="Times New Roman"/>
        <w:u w:val="single"/>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52160"/>
    <w:rsid w:val="00152160"/>
    <w:rsid w:val="001C2F9A"/>
    <w:rsid w:val="0020194B"/>
    <w:rsid w:val="00266EA6"/>
    <w:rsid w:val="00294565"/>
    <w:rsid w:val="002B696E"/>
    <w:rsid w:val="003007E6"/>
    <w:rsid w:val="003200D2"/>
    <w:rsid w:val="00366EEC"/>
    <w:rsid w:val="00456437"/>
    <w:rsid w:val="004940F3"/>
    <w:rsid w:val="005B106C"/>
    <w:rsid w:val="006017A9"/>
    <w:rsid w:val="006048CC"/>
    <w:rsid w:val="00631EC6"/>
    <w:rsid w:val="00647284"/>
    <w:rsid w:val="00676CE0"/>
    <w:rsid w:val="0069512F"/>
    <w:rsid w:val="00713E89"/>
    <w:rsid w:val="007353EF"/>
    <w:rsid w:val="00765F55"/>
    <w:rsid w:val="00773038"/>
    <w:rsid w:val="0080215E"/>
    <w:rsid w:val="008357F0"/>
    <w:rsid w:val="008D0822"/>
    <w:rsid w:val="00907715"/>
    <w:rsid w:val="009453FC"/>
    <w:rsid w:val="00A10AFB"/>
    <w:rsid w:val="00A56516"/>
    <w:rsid w:val="00B06BF2"/>
    <w:rsid w:val="00B40CD6"/>
    <w:rsid w:val="00BA71FD"/>
    <w:rsid w:val="00BC0894"/>
    <w:rsid w:val="00C079C2"/>
    <w:rsid w:val="00C14FFB"/>
    <w:rsid w:val="00C83982"/>
    <w:rsid w:val="00CA035F"/>
    <w:rsid w:val="00D40EBA"/>
    <w:rsid w:val="00D5355A"/>
    <w:rsid w:val="00DE691A"/>
    <w:rsid w:val="00EA65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B696E"/>
  </w:style>
  <w:style w:type="paragraph" w:styleId="Header">
    <w:name w:val="header"/>
    <w:basedOn w:val="Normal"/>
    <w:rsid w:val="005B106C"/>
    <w:pPr>
      <w:tabs>
        <w:tab w:val="center" w:pos="4320"/>
        <w:tab w:val="right" w:pos="8640"/>
      </w:tabs>
    </w:pPr>
  </w:style>
  <w:style w:type="paragraph" w:styleId="Footer">
    <w:name w:val="footer"/>
    <w:basedOn w:val="Normal"/>
    <w:rsid w:val="005B106C"/>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B696E"/>
  </w:style>
  <w:style w:type="paragraph" w:styleId="Header">
    <w:name w:val="header"/>
    <w:basedOn w:val="Normal"/>
    <w:rsid w:val="005B106C"/>
    <w:pPr>
      <w:tabs>
        <w:tab w:val="center" w:pos="4320"/>
        <w:tab w:val="right" w:pos="8640"/>
      </w:tabs>
    </w:pPr>
  </w:style>
  <w:style w:type="paragraph" w:styleId="Footer">
    <w:name w:val="footer"/>
    <w:basedOn w:val="Normal"/>
    <w:rsid w:val="005B106C"/>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736</Words>
  <Characters>4200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Section 1040</vt:lpstr>
    </vt:vector>
  </TitlesOfParts>
  <Company>State of Illinois</Company>
  <LinksUpToDate>false</LinksUpToDate>
  <CharactersWithSpaces>4927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1040</dc:title>
  <dc:subject/>
  <dc:creator>Illinois General Assembly</dc:creator>
  <cp:keywords/>
  <dc:description/>
  <cp:lastModifiedBy>Roberts, John</cp:lastModifiedBy>
  <cp:revision>3</cp:revision>
  <dcterms:created xsi:type="dcterms:W3CDTF">2012-06-21T23:59:00Z</dcterms:created>
  <dcterms:modified xsi:type="dcterms:W3CDTF">2012-06-21T23:59:00Z</dcterms:modified>
</cp:coreProperties>
</file>