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AE" w:rsidRDefault="00E203AE" w:rsidP="00E203AE">
      <w:pPr>
        <w:widowControl w:val="0"/>
        <w:autoSpaceDE w:val="0"/>
        <w:autoSpaceDN w:val="0"/>
        <w:adjustRightInd w:val="0"/>
      </w:pPr>
      <w:bookmarkStart w:id="0" w:name="_GoBack"/>
      <w:bookmarkEnd w:id="0"/>
    </w:p>
    <w:p w:rsidR="00E203AE" w:rsidRDefault="00E203AE" w:rsidP="00E203AE">
      <w:pPr>
        <w:widowControl w:val="0"/>
        <w:autoSpaceDE w:val="0"/>
        <w:autoSpaceDN w:val="0"/>
        <w:adjustRightInd w:val="0"/>
      </w:pPr>
      <w:r>
        <w:rPr>
          <w:b/>
          <w:bCs/>
        </w:rPr>
        <w:t>Section 554.506  Horizontal Clearances</w:t>
      </w:r>
      <w:r>
        <w:t xml:space="preserve"> </w:t>
      </w:r>
    </w:p>
    <w:p w:rsidR="00E203AE" w:rsidRDefault="00E203AE" w:rsidP="00E203AE">
      <w:pPr>
        <w:widowControl w:val="0"/>
        <w:autoSpaceDE w:val="0"/>
        <w:autoSpaceDN w:val="0"/>
        <w:adjustRightInd w:val="0"/>
      </w:pPr>
    </w:p>
    <w:p w:rsidR="00E203AE" w:rsidRDefault="00E203AE" w:rsidP="00E203AE">
      <w:pPr>
        <w:widowControl w:val="0"/>
        <w:autoSpaceDE w:val="0"/>
        <w:autoSpaceDN w:val="0"/>
        <w:adjustRightInd w:val="0"/>
      </w:pPr>
      <w:r>
        <w:t xml:space="preserve">Horizontal clearances at bridges and other obstructions must exceed the overall width of the load by 24 inches or more. Where practical, the load may be raised over handrails in order to clear.  However, if this is proposed, the vertical clearance between the top of the handrail and the underside of the load must be at least 18 inches. </w:t>
      </w:r>
    </w:p>
    <w:sectPr w:rsidR="00E203AE" w:rsidSect="00E203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3AE"/>
    <w:rsid w:val="00372834"/>
    <w:rsid w:val="006514E0"/>
    <w:rsid w:val="00864578"/>
    <w:rsid w:val="009E22D9"/>
    <w:rsid w:val="00E2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