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21" w:rsidRDefault="00A91021" w:rsidP="00111CAA">
      <w:pPr>
        <w:rPr>
          <w:b/>
        </w:rPr>
      </w:pPr>
      <w:bookmarkStart w:id="0" w:name="_GoBack"/>
      <w:bookmarkEnd w:id="0"/>
    </w:p>
    <w:p w:rsidR="00111CAA" w:rsidRPr="009036CF" w:rsidRDefault="00111CAA" w:rsidP="00111CAA">
      <w:pPr>
        <w:rPr>
          <w:b/>
        </w:rPr>
      </w:pPr>
      <w:r w:rsidRPr="009036CF">
        <w:rPr>
          <w:b/>
        </w:rPr>
        <w:t xml:space="preserve">Section </w:t>
      </w:r>
      <w:proofErr w:type="spellStart"/>
      <w:r w:rsidRPr="009036CF">
        <w:rPr>
          <w:b/>
        </w:rPr>
        <w:t>436.APPENDIX</w:t>
      </w:r>
      <w:proofErr w:type="spellEnd"/>
      <w:r w:rsidRPr="009036CF">
        <w:rPr>
          <w:b/>
        </w:rPr>
        <w:t xml:space="preserve"> K </w:t>
      </w:r>
      <w:r w:rsidR="009036CF" w:rsidRPr="009036CF">
        <w:rPr>
          <w:b/>
        </w:rPr>
        <w:t xml:space="preserve"> </w:t>
      </w:r>
      <w:r w:rsidRPr="009036CF">
        <w:rPr>
          <w:b/>
        </w:rPr>
        <w:t xml:space="preserve"> Tow Hooks (optional) through Warning Devices</w:t>
      </w:r>
    </w:p>
    <w:p w:rsidR="00111CAA" w:rsidRPr="00111CAA" w:rsidRDefault="00111CAA" w:rsidP="00111CAA"/>
    <w:p w:rsidR="00111CAA" w:rsidRPr="00111CAA" w:rsidRDefault="00111CAA" w:rsidP="009036CF">
      <w:pPr>
        <w:ind w:firstLine="720"/>
      </w:pPr>
      <w:r w:rsidRPr="00111CAA">
        <w:t>a)</w:t>
      </w:r>
      <w:r w:rsidRPr="00111CAA">
        <w:tab/>
        <w:t>TOW HOOKS (optional)</w:t>
      </w:r>
    </w:p>
    <w:p w:rsidR="00111CAA" w:rsidRPr="00111CAA" w:rsidRDefault="00111CAA" w:rsidP="009036CF">
      <w:pPr>
        <w:ind w:left="1440"/>
      </w:pPr>
    </w:p>
    <w:p w:rsidR="00111CAA" w:rsidRPr="00111CAA" w:rsidRDefault="00111CAA" w:rsidP="009036CF">
      <w:pPr>
        <w:ind w:left="1440"/>
      </w:pPr>
      <w:r w:rsidRPr="00111CAA">
        <w:t>1)</w:t>
      </w:r>
      <w:r w:rsidRPr="00111CAA">
        <w:tab/>
        <w:t>Front</w:t>
      </w:r>
    </w:p>
    <w:p w:rsidR="00111CAA" w:rsidRPr="00111CAA" w:rsidRDefault="00111CAA" w:rsidP="009036CF">
      <w:pPr>
        <w:ind w:left="1440"/>
      </w:pPr>
    </w:p>
    <w:p w:rsidR="00111CAA" w:rsidRPr="00111CAA" w:rsidRDefault="00111CAA" w:rsidP="009036CF">
      <w:pPr>
        <w:ind w:left="1440" w:firstLine="720"/>
      </w:pPr>
      <w:r w:rsidRPr="00111CAA">
        <w:t>PROCEDURES/SPECIFICATIONS:</w:t>
      </w:r>
    </w:p>
    <w:p w:rsidR="00111CAA" w:rsidRPr="00111CAA" w:rsidRDefault="00111CAA" w:rsidP="009036CF">
      <w:pPr>
        <w:ind w:left="1440"/>
      </w:pPr>
    </w:p>
    <w:p w:rsidR="00111CAA" w:rsidRPr="00111CAA" w:rsidRDefault="00111CAA" w:rsidP="009036CF">
      <w:pPr>
        <w:ind w:left="2160"/>
      </w:pPr>
      <w:r w:rsidRPr="00111CAA">
        <w:t>A front tow hook must not extend beyond the front of the front bumper.  Each front tow hook not fastened securely to the chassis frame shall be connected to the frame by suitable braces.</w:t>
      </w:r>
    </w:p>
    <w:p w:rsidR="00111CAA" w:rsidRPr="00111CAA" w:rsidRDefault="00111CAA" w:rsidP="009036CF">
      <w:pPr>
        <w:ind w:left="1440"/>
      </w:pPr>
    </w:p>
    <w:p w:rsidR="00111CAA" w:rsidRPr="00111CAA" w:rsidRDefault="00111CAA" w:rsidP="009036CF">
      <w:pPr>
        <w:ind w:left="1440" w:firstLine="720"/>
      </w:pPr>
      <w:r w:rsidRPr="00111CAA">
        <w:t>REJECT VEHICLE IF:</w:t>
      </w:r>
    </w:p>
    <w:p w:rsidR="00111CAA" w:rsidRPr="00111CAA" w:rsidRDefault="00111CAA" w:rsidP="009036CF">
      <w:pPr>
        <w:ind w:left="1440"/>
      </w:pPr>
    </w:p>
    <w:p w:rsidR="00111CAA" w:rsidRPr="00111CAA" w:rsidRDefault="00111CAA" w:rsidP="009036CF">
      <w:pPr>
        <w:ind w:left="1440" w:firstLine="720"/>
      </w:pPr>
      <w:r w:rsidRPr="00111CAA">
        <w:t>Tow hooks extend beyond bumper; not securely attached.</w:t>
      </w:r>
    </w:p>
    <w:p w:rsidR="00111CAA" w:rsidRPr="00111CAA" w:rsidRDefault="00111CAA" w:rsidP="009036CF">
      <w:pPr>
        <w:ind w:left="1440"/>
      </w:pPr>
    </w:p>
    <w:p w:rsidR="00111CAA" w:rsidRPr="00111CAA" w:rsidRDefault="00111CAA" w:rsidP="009036CF">
      <w:pPr>
        <w:ind w:left="1440"/>
      </w:pPr>
      <w:r w:rsidRPr="00111CAA">
        <w:t>2)</w:t>
      </w:r>
      <w:r w:rsidRPr="00111CAA">
        <w:tab/>
        <w:t>Rear</w:t>
      </w:r>
    </w:p>
    <w:p w:rsidR="00111CAA" w:rsidRPr="00111CAA" w:rsidRDefault="00111CAA" w:rsidP="009036CF">
      <w:pPr>
        <w:ind w:left="1440"/>
      </w:pPr>
    </w:p>
    <w:p w:rsidR="00111CAA" w:rsidRPr="00111CAA" w:rsidRDefault="00111CAA" w:rsidP="009036CF">
      <w:pPr>
        <w:ind w:left="1440" w:firstLine="720"/>
      </w:pPr>
      <w:r w:rsidRPr="00111CAA">
        <w:t>PROCEDURES/SPECIFICATIONS:</w:t>
      </w:r>
    </w:p>
    <w:p w:rsidR="00111CAA" w:rsidRPr="00111CAA" w:rsidRDefault="00111CAA" w:rsidP="009036CF">
      <w:pPr>
        <w:ind w:left="1440"/>
      </w:pPr>
    </w:p>
    <w:p w:rsidR="00111CAA" w:rsidRPr="00111CAA" w:rsidRDefault="00111CAA" w:rsidP="009036CF">
      <w:pPr>
        <w:ind w:left="2160"/>
      </w:pPr>
      <w:r w:rsidRPr="00111CAA">
        <w:t>Any tow hooks installed on the rear shall be attached or braced to the chassis frame or to an equivalent structural member of an integral type bus.  A tow hook must not extend beyond the rear face of the rear bumper.</w:t>
      </w:r>
    </w:p>
    <w:p w:rsidR="00111CAA" w:rsidRPr="00111CAA" w:rsidRDefault="00111CAA" w:rsidP="009036CF">
      <w:pPr>
        <w:ind w:left="1440"/>
      </w:pPr>
    </w:p>
    <w:p w:rsidR="00111CAA" w:rsidRPr="00111CAA" w:rsidRDefault="00111CAA" w:rsidP="009036CF">
      <w:pPr>
        <w:ind w:left="1440" w:firstLine="720"/>
      </w:pPr>
      <w:r w:rsidRPr="00111CAA">
        <w:t>REJECT VEHICLE IF:</w:t>
      </w:r>
    </w:p>
    <w:p w:rsidR="00111CAA" w:rsidRPr="00111CAA" w:rsidRDefault="00111CAA" w:rsidP="009036CF">
      <w:pPr>
        <w:ind w:left="1440"/>
      </w:pPr>
    </w:p>
    <w:p w:rsidR="00111CAA" w:rsidRPr="00111CAA" w:rsidRDefault="00111CAA" w:rsidP="009036CF">
      <w:pPr>
        <w:ind w:left="1440" w:firstLine="720"/>
      </w:pPr>
      <w:r w:rsidRPr="00111CAA">
        <w:t>Tow hooks extend beyond bumper; not securely attached.</w:t>
      </w:r>
    </w:p>
    <w:p w:rsidR="00111CAA" w:rsidRPr="00111CAA" w:rsidRDefault="00111CAA" w:rsidP="00111CAA"/>
    <w:p w:rsidR="00111CAA" w:rsidRPr="00111CAA" w:rsidRDefault="00111CAA" w:rsidP="009036CF">
      <w:pPr>
        <w:ind w:firstLine="720"/>
      </w:pPr>
      <w:r w:rsidRPr="00111CAA">
        <w:t>b)</w:t>
      </w:r>
      <w:r w:rsidRPr="00111CAA">
        <w:tab/>
        <w:t>TRASH CONTAINER (optional)</w:t>
      </w:r>
    </w:p>
    <w:p w:rsidR="00111CAA" w:rsidRPr="00111CAA" w:rsidRDefault="00111CAA" w:rsidP="009036CF">
      <w:pPr>
        <w:ind w:left="1440"/>
      </w:pPr>
    </w:p>
    <w:p w:rsidR="00111CAA" w:rsidRPr="00111CAA" w:rsidRDefault="00111CAA" w:rsidP="009036CF">
      <w:pPr>
        <w:ind w:left="1440"/>
      </w:pPr>
      <w:r w:rsidRPr="00111CAA">
        <w:t>PROCEDURES/SPECIFICATIONS:</w:t>
      </w:r>
    </w:p>
    <w:p w:rsidR="00111CAA" w:rsidRPr="00111CAA" w:rsidRDefault="00111CAA" w:rsidP="009036CF">
      <w:pPr>
        <w:ind w:left="1440"/>
      </w:pPr>
    </w:p>
    <w:p w:rsidR="00111CAA" w:rsidRPr="00111CAA" w:rsidRDefault="00111CAA" w:rsidP="009036CF">
      <w:pPr>
        <w:ind w:left="1440"/>
      </w:pPr>
      <w:r w:rsidRPr="00111CAA">
        <w:t>A trash container may be present.  If present, it must be securely stored in the vehicle and must not obstruct an aisle.</w:t>
      </w:r>
    </w:p>
    <w:p w:rsidR="00111CAA" w:rsidRPr="00111CAA" w:rsidRDefault="00111CAA" w:rsidP="009036CF">
      <w:pPr>
        <w:ind w:left="1440"/>
      </w:pPr>
    </w:p>
    <w:p w:rsidR="00111CAA" w:rsidRPr="00111CAA" w:rsidRDefault="00111CAA" w:rsidP="009036CF">
      <w:pPr>
        <w:ind w:left="1440"/>
      </w:pPr>
      <w:r w:rsidRPr="00111CAA">
        <w:t>REJECT VEHICLE IF:</w:t>
      </w:r>
    </w:p>
    <w:p w:rsidR="00111CAA" w:rsidRPr="00111CAA" w:rsidRDefault="00111CAA" w:rsidP="009036CF">
      <w:pPr>
        <w:ind w:left="1440"/>
      </w:pPr>
    </w:p>
    <w:p w:rsidR="00111CAA" w:rsidRPr="00111CAA" w:rsidRDefault="00111CAA" w:rsidP="009036CF">
      <w:pPr>
        <w:ind w:left="1440"/>
      </w:pPr>
      <w:r w:rsidRPr="00111CAA">
        <w:t>Optional trash container does not meet requirements.</w:t>
      </w:r>
    </w:p>
    <w:p w:rsidR="00111CAA" w:rsidRPr="00111CAA" w:rsidRDefault="00111CAA" w:rsidP="00111CAA"/>
    <w:p w:rsidR="00111CAA" w:rsidRPr="00111CAA" w:rsidRDefault="00111CAA" w:rsidP="009036CF">
      <w:pPr>
        <w:ind w:firstLine="720"/>
      </w:pPr>
      <w:r w:rsidRPr="00111CAA">
        <w:t>c)</w:t>
      </w:r>
      <w:r w:rsidRPr="00111CAA">
        <w:tab/>
        <w:t>UNDERCOATING</w:t>
      </w:r>
    </w:p>
    <w:p w:rsidR="00111CAA" w:rsidRPr="00111CAA" w:rsidRDefault="00111CAA" w:rsidP="009036CF">
      <w:pPr>
        <w:ind w:left="1440"/>
      </w:pPr>
    </w:p>
    <w:p w:rsidR="00111CAA" w:rsidRPr="00111CAA" w:rsidRDefault="00111CAA" w:rsidP="009036CF">
      <w:pPr>
        <w:ind w:left="1440"/>
      </w:pPr>
      <w:r w:rsidRPr="00111CAA">
        <w:t>PROCEDURES/SPECIFICATIONS:</w:t>
      </w:r>
    </w:p>
    <w:p w:rsidR="00111CAA" w:rsidRPr="00111CAA" w:rsidRDefault="00111CAA" w:rsidP="009036CF">
      <w:pPr>
        <w:ind w:left="1440"/>
      </w:pPr>
    </w:p>
    <w:p w:rsidR="00111CAA" w:rsidRPr="00111CAA" w:rsidRDefault="00111CAA" w:rsidP="009036CF">
      <w:pPr>
        <w:ind w:left="1440"/>
      </w:pPr>
      <w:r w:rsidRPr="00111CAA">
        <w:lastRenderedPageBreak/>
        <w:t>Fire resistant undercoating material applied to entire underside of body, front fenders, wheel wells, floor members, and side panels below floor level.  Non-metallic parts need not be coated.</w:t>
      </w:r>
    </w:p>
    <w:p w:rsidR="00111CAA" w:rsidRPr="00111CAA" w:rsidRDefault="00111CAA" w:rsidP="009036CF">
      <w:pPr>
        <w:ind w:left="1440"/>
      </w:pPr>
    </w:p>
    <w:p w:rsidR="00111CAA" w:rsidRPr="00111CAA" w:rsidRDefault="00111CAA" w:rsidP="009036CF">
      <w:pPr>
        <w:ind w:left="1440"/>
      </w:pPr>
      <w:r w:rsidRPr="00111CAA">
        <w:t>REJECT VEHICLE IF:</w:t>
      </w:r>
    </w:p>
    <w:p w:rsidR="00111CAA" w:rsidRPr="00111CAA" w:rsidRDefault="00111CAA" w:rsidP="009036CF">
      <w:pPr>
        <w:ind w:left="1440"/>
      </w:pPr>
    </w:p>
    <w:p w:rsidR="00111CAA" w:rsidRPr="00111CAA" w:rsidRDefault="00111CAA" w:rsidP="009036CF">
      <w:pPr>
        <w:ind w:left="1440"/>
      </w:pPr>
      <w:r w:rsidRPr="00111CAA">
        <w:t>Undercoating does not meet requirements.</w:t>
      </w:r>
    </w:p>
    <w:p w:rsidR="00111CAA" w:rsidRPr="00111CAA" w:rsidRDefault="00111CAA" w:rsidP="00111CAA"/>
    <w:p w:rsidR="00111CAA" w:rsidRPr="00111CAA" w:rsidRDefault="00111CAA" w:rsidP="009036CF">
      <w:pPr>
        <w:ind w:firstLine="720"/>
      </w:pPr>
      <w:r w:rsidRPr="00111CAA">
        <w:t>d)</w:t>
      </w:r>
      <w:r w:rsidRPr="00111CAA">
        <w:tab/>
        <w:t>VENTILATION</w:t>
      </w:r>
    </w:p>
    <w:p w:rsidR="00111CAA" w:rsidRPr="00111CAA" w:rsidRDefault="00111CAA" w:rsidP="009036CF">
      <w:pPr>
        <w:ind w:left="1440"/>
      </w:pPr>
    </w:p>
    <w:p w:rsidR="00111CAA" w:rsidRPr="00111CAA" w:rsidRDefault="00111CAA" w:rsidP="009036CF">
      <w:pPr>
        <w:ind w:left="1440"/>
      </w:pPr>
      <w:r w:rsidRPr="00111CAA">
        <w:t>PROCEDURES/SPECIFICATIONS:</w:t>
      </w:r>
    </w:p>
    <w:p w:rsidR="00111CAA" w:rsidRPr="00111CAA" w:rsidRDefault="00111CAA" w:rsidP="009036CF">
      <w:pPr>
        <w:ind w:left="1440"/>
      </w:pPr>
    </w:p>
    <w:p w:rsidR="00111CAA" w:rsidRPr="00111CAA" w:rsidRDefault="00111CAA" w:rsidP="009036CF">
      <w:pPr>
        <w:ind w:left="1440"/>
      </w:pPr>
      <w:r w:rsidRPr="00111CAA">
        <w:t>Body must be equipped with ventilating system capable of supplying proper quantity of air under operating conditions.</w:t>
      </w:r>
    </w:p>
    <w:p w:rsidR="00111CAA" w:rsidRPr="00111CAA" w:rsidRDefault="00111CAA" w:rsidP="009036CF">
      <w:pPr>
        <w:ind w:left="1440"/>
      </w:pPr>
    </w:p>
    <w:p w:rsidR="00111CAA" w:rsidRPr="00111CAA" w:rsidRDefault="00111CAA" w:rsidP="009036CF">
      <w:pPr>
        <w:ind w:left="1440"/>
      </w:pPr>
      <w:r w:rsidRPr="00111CAA">
        <w:t>REJECT VEHICLE IF:</w:t>
      </w:r>
    </w:p>
    <w:p w:rsidR="00111CAA" w:rsidRPr="00111CAA" w:rsidRDefault="00111CAA" w:rsidP="009036CF">
      <w:pPr>
        <w:ind w:left="1440"/>
      </w:pPr>
    </w:p>
    <w:p w:rsidR="00111CAA" w:rsidRPr="00111CAA" w:rsidRDefault="00111CAA" w:rsidP="009036CF">
      <w:pPr>
        <w:ind w:left="1440"/>
      </w:pPr>
      <w:r w:rsidRPr="00111CAA">
        <w:t>Air is obstructed; not securely fastened; not covered.</w:t>
      </w:r>
    </w:p>
    <w:p w:rsidR="00111CAA" w:rsidRPr="00111CAA" w:rsidRDefault="00111CAA" w:rsidP="00111CAA"/>
    <w:p w:rsidR="00111CAA" w:rsidRPr="00111CAA" w:rsidRDefault="00111CAA" w:rsidP="009036CF">
      <w:pPr>
        <w:ind w:firstLine="720"/>
      </w:pPr>
      <w:r w:rsidRPr="00111CAA">
        <w:t>e)</w:t>
      </w:r>
      <w:r w:rsidRPr="00111CAA">
        <w:tab/>
        <w:t>WARNING DEVICES</w:t>
      </w:r>
    </w:p>
    <w:p w:rsidR="00111CAA" w:rsidRPr="00111CAA" w:rsidRDefault="00111CAA" w:rsidP="009036CF">
      <w:pPr>
        <w:ind w:left="1440"/>
      </w:pPr>
    </w:p>
    <w:p w:rsidR="00111CAA" w:rsidRPr="00111CAA" w:rsidRDefault="00111CAA" w:rsidP="009036CF">
      <w:pPr>
        <w:ind w:left="1440"/>
      </w:pPr>
      <w:r w:rsidRPr="00111CAA">
        <w:t>PROCEDURES/SPECIFICATIONS:</w:t>
      </w:r>
    </w:p>
    <w:p w:rsidR="00111CAA" w:rsidRPr="00111CAA" w:rsidRDefault="00111CAA" w:rsidP="009036CF">
      <w:pPr>
        <w:ind w:left="1440"/>
      </w:pPr>
    </w:p>
    <w:p w:rsidR="00111CAA" w:rsidRPr="00111CAA" w:rsidRDefault="00446854" w:rsidP="00446854">
      <w:pPr>
        <w:ind w:left="2160" w:hanging="720"/>
      </w:pPr>
      <w:r>
        <w:t>1)</w:t>
      </w:r>
      <w:r>
        <w:tab/>
      </w:r>
      <w:r w:rsidR="00111CAA" w:rsidRPr="00111CAA">
        <w:t xml:space="preserve">Emergency warning devices are required to be carried on any second division motor vehicle weighing more than 8,000 pounds and operated upon any highway outside an urban district.  The warning devices must be securely stored.  </w:t>
      </w:r>
    </w:p>
    <w:p w:rsidR="00446854" w:rsidRDefault="00446854" w:rsidP="009036CF">
      <w:pPr>
        <w:ind w:left="1440"/>
      </w:pPr>
    </w:p>
    <w:p w:rsidR="00111CAA" w:rsidRPr="00111CAA" w:rsidRDefault="00111CAA" w:rsidP="00446854">
      <w:pPr>
        <w:ind w:left="2160"/>
      </w:pPr>
      <w:r w:rsidRPr="00111CAA">
        <w:t>The warning devices required for use when lighted lamps are required (see Section 12-201(b) of the Illinois Vehicle Equipment Law) shall consist of:</w:t>
      </w:r>
    </w:p>
    <w:p w:rsidR="00111CAA" w:rsidRPr="00111CAA" w:rsidRDefault="00111CAA" w:rsidP="009036CF">
      <w:pPr>
        <w:ind w:left="1440"/>
      </w:pPr>
    </w:p>
    <w:p w:rsidR="00111CAA" w:rsidRPr="00111CAA" w:rsidRDefault="00446854" w:rsidP="00446854">
      <w:pPr>
        <w:ind w:left="2880" w:hanging="720"/>
      </w:pPr>
      <w:r>
        <w:t>A</w:t>
      </w:r>
      <w:r w:rsidR="00111CAA" w:rsidRPr="00111CAA">
        <w:t>)</w:t>
      </w:r>
      <w:r w:rsidR="00111CAA" w:rsidRPr="00111CAA">
        <w:tab/>
        <w:t xml:space="preserve">At least three liquid-burning flares and three red-burning 15-minute fusees; or </w:t>
      </w:r>
    </w:p>
    <w:p w:rsidR="00111CAA" w:rsidRPr="00111CAA" w:rsidRDefault="00111CAA" w:rsidP="009036CF">
      <w:pPr>
        <w:ind w:left="1440"/>
      </w:pPr>
    </w:p>
    <w:p w:rsidR="00111CAA" w:rsidRPr="00111CAA" w:rsidRDefault="00446854" w:rsidP="00446854">
      <w:pPr>
        <w:ind w:left="1440" w:firstLine="720"/>
      </w:pPr>
      <w:r>
        <w:t>B</w:t>
      </w:r>
      <w:r w:rsidR="00111CAA" w:rsidRPr="00111CAA">
        <w:t>)</w:t>
      </w:r>
      <w:r w:rsidR="00111CAA" w:rsidRPr="00111CAA">
        <w:tab/>
        <w:t>Three red electric lanterns; or</w:t>
      </w:r>
    </w:p>
    <w:p w:rsidR="00111CAA" w:rsidRPr="00111CAA" w:rsidRDefault="00111CAA" w:rsidP="009036CF">
      <w:pPr>
        <w:ind w:left="1440"/>
      </w:pPr>
    </w:p>
    <w:p w:rsidR="00111CAA" w:rsidRPr="00111CAA" w:rsidRDefault="00446854" w:rsidP="00446854">
      <w:pPr>
        <w:ind w:left="2880" w:hanging="720"/>
      </w:pPr>
      <w:r>
        <w:t>C</w:t>
      </w:r>
      <w:r w:rsidR="00111CAA" w:rsidRPr="00111CAA">
        <w:t>)</w:t>
      </w:r>
      <w:r w:rsidR="00111CAA" w:rsidRPr="00111CAA">
        <w:tab/>
        <w:t>Three portable red emergency reflectors that meet FMVSS No. 125.</w:t>
      </w:r>
    </w:p>
    <w:p w:rsidR="00111CAA" w:rsidRPr="00111CAA" w:rsidRDefault="00111CAA" w:rsidP="00111CAA"/>
    <w:p w:rsidR="00111CAA" w:rsidRPr="00111CAA" w:rsidRDefault="00446854" w:rsidP="00446854">
      <w:pPr>
        <w:ind w:left="2160" w:hanging="720"/>
      </w:pPr>
      <w:r>
        <w:t>2)</w:t>
      </w:r>
      <w:r>
        <w:tab/>
      </w:r>
      <w:r w:rsidR="00111CAA" w:rsidRPr="00111CAA">
        <w:t>In addition, the following warning devices are also required for use when lighted lamps are not required (see Section 12-201(b) of the Illinois Vehicle Equipment Law):</w:t>
      </w:r>
    </w:p>
    <w:p w:rsidR="00111CAA" w:rsidRPr="00111CAA" w:rsidRDefault="00111CAA" w:rsidP="009036CF">
      <w:pPr>
        <w:ind w:left="1440"/>
      </w:pPr>
    </w:p>
    <w:p w:rsidR="00111CAA" w:rsidRPr="00111CAA" w:rsidRDefault="00446854" w:rsidP="00446854">
      <w:pPr>
        <w:ind w:left="2880" w:hanging="720"/>
      </w:pPr>
      <w:r>
        <w:t>A</w:t>
      </w:r>
      <w:r w:rsidR="00111CAA" w:rsidRPr="00111CAA">
        <w:t>)</w:t>
      </w:r>
      <w:r w:rsidR="00111CAA" w:rsidRPr="00111CAA">
        <w:tab/>
        <w:t>Two red cloth flags (not less than 12 inches square with standards to support flags); or</w:t>
      </w:r>
    </w:p>
    <w:p w:rsidR="00111CAA" w:rsidRPr="00111CAA" w:rsidRDefault="00111CAA" w:rsidP="009036CF">
      <w:pPr>
        <w:ind w:left="1440"/>
      </w:pPr>
    </w:p>
    <w:p w:rsidR="00111CAA" w:rsidRPr="00111CAA" w:rsidRDefault="00446854" w:rsidP="00446854">
      <w:pPr>
        <w:ind w:left="2880" w:hanging="720"/>
      </w:pPr>
      <w:r>
        <w:t>B</w:t>
      </w:r>
      <w:r w:rsidR="00111CAA" w:rsidRPr="00111CAA">
        <w:t>)</w:t>
      </w:r>
      <w:r w:rsidR="00111CAA" w:rsidRPr="00111CAA">
        <w:tab/>
        <w:t xml:space="preserve">Two portable emergency reflectors that meet FMVSS No. 125.  (The reflectors in subsection </w:t>
      </w:r>
      <w:r>
        <w:t>(b)(1)(C)</w:t>
      </w:r>
      <w:r w:rsidR="00111CAA" w:rsidRPr="00111CAA">
        <w:t xml:space="preserve"> qualify for this option.)  (See Section 12-702(a) and (c) of the </w:t>
      </w:r>
      <w:smartTag w:uri="urn:schemas-microsoft-com:office:smarttags" w:element="place">
        <w:smartTag w:uri="urn:schemas-microsoft-com:office:smarttags" w:element="State">
          <w:r w:rsidR="00111CAA" w:rsidRPr="00111CAA">
            <w:t>Illinois</w:t>
          </w:r>
        </w:smartTag>
      </w:smartTag>
      <w:r w:rsidR="00111CAA" w:rsidRPr="00111CAA">
        <w:t xml:space="preserve"> Vehicle Equipment Law.)</w:t>
      </w:r>
    </w:p>
    <w:p w:rsidR="00111CAA" w:rsidRPr="009036CF" w:rsidRDefault="00111CAA" w:rsidP="00111CAA"/>
    <w:p w:rsidR="00111CAA" w:rsidRPr="00111CAA" w:rsidRDefault="00111CAA" w:rsidP="009036CF">
      <w:pPr>
        <w:ind w:left="1440" w:firstLine="720"/>
      </w:pPr>
      <w:r w:rsidRPr="00111CAA">
        <w:t>The warning devices must be securely stored.</w:t>
      </w:r>
    </w:p>
    <w:p w:rsidR="00111CAA" w:rsidRPr="009036CF" w:rsidRDefault="00111CAA" w:rsidP="00111CAA"/>
    <w:p w:rsidR="00111CAA" w:rsidRPr="00111CAA" w:rsidRDefault="00111CAA" w:rsidP="009036CF">
      <w:pPr>
        <w:ind w:left="1440" w:firstLine="720"/>
      </w:pPr>
      <w:r w:rsidRPr="00111CAA">
        <w:t>REJECT VEHICLE IF:</w:t>
      </w:r>
    </w:p>
    <w:p w:rsidR="00111CAA" w:rsidRPr="00111CAA" w:rsidRDefault="00111CAA" w:rsidP="00111CAA"/>
    <w:p w:rsidR="00111CAA" w:rsidRPr="00111CAA" w:rsidRDefault="00111CAA" w:rsidP="009036CF">
      <w:pPr>
        <w:ind w:left="1440" w:firstLine="720"/>
      </w:pPr>
      <w:r w:rsidRPr="00111CAA">
        <w:t>Required warning devices are not present or are in poor condition.</w:t>
      </w:r>
    </w:p>
    <w:sectPr w:rsidR="00111CAA" w:rsidRPr="00111C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94" w:rsidRDefault="000C1E94">
      <w:r>
        <w:separator/>
      </w:r>
    </w:p>
  </w:endnote>
  <w:endnote w:type="continuationSeparator" w:id="0">
    <w:p w:rsidR="000C1E94" w:rsidRDefault="000C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94" w:rsidRDefault="000C1E94">
      <w:r>
        <w:separator/>
      </w:r>
    </w:p>
  </w:footnote>
  <w:footnote w:type="continuationSeparator" w:id="0">
    <w:p w:rsidR="000C1E94" w:rsidRDefault="000C1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C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E9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CAA"/>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48B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4685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527"/>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6CF"/>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5E2C"/>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021"/>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D4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012"/>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111CAA"/>
    <w:rPr>
      <w:sz w:val="24"/>
      <w:szCs w:val="24"/>
      <w:lang w:val="en-US" w:eastAsia="en-US" w:bidi="ar-SA"/>
    </w:rPr>
  </w:style>
  <w:style w:type="paragraph" w:customStyle="1" w:styleId="InsideAddress">
    <w:name w:val="Inside Address"/>
    <w:basedOn w:val="Normal"/>
    <w:rsid w:val="00111CAA"/>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111CAA"/>
    <w:rPr>
      <w:sz w:val="24"/>
      <w:szCs w:val="24"/>
      <w:lang w:val="en-US" w:eastAsia="en-US" w:bidi="ar-SA"/>
    </w:rPr>
  </w:style>
  <w:style w:type="paragraph" w:customStyle="1" w:styleId="InsideAddress">
    <w:name w:val="Inside Address"/>
    <w:basedOn w:val="Normal"/>
    <w:rsid w:val="00111CAA"/>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5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