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E2" w:rsidRDefault="003E39E2" w:rsidP="003E39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9E2" w:rsidRDefault="003E39E2" w:rsidP="003E39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107.321  Assessment Considerations</w:t>
      </w:r>
      <w:r>
        <w:t xml:space="preserve"> </w:t>
      </w:r>
    </w:p>
    <w:p w:rsidR="003E39E2" w:rsidRDefault="003E39E2" w:rsidP="003E39E2">
      <w:pPr>
        <w:widowControl w:val="0"/>
        <w:autoSpaceDE w:val="0"/>
        <w:autoSpaceDN w:val="0"/>
        <w:adjustRightInd w:val="0"/>
      </w:pPr>
    </w:p>
    <w:p w:rsidR="003E39E2" w:rsidRDefault="003E39E2" w:rsidP="003E39E2">
      <w:pPr>
        <w:widowControl w:val="0"/>
        <w:autoSpaceDE w:val="0"/>
        <w:autoSpaceDN w:val="0"/>
        <w:adjustRightInd w:val="0"/>
      </w:pPr>
      <w:r>
        <w:t xml:space="preserve">In assessing a civil penalty under Section 107.320, the assessment is made only after considering: </w:t>
      </w:r>
    </w:p>
    <w:p w:rsidR="0077337E" w:rsidRDefault="0077337E" w:rsidP="003E39E2">
      <w:pPr>
        <w:widowControl w:val="0"/>
        <w:autoSpaceDE w:val="0"/>
        <w:autoSpaceDN w:val="0"/>
        <w:adjustRightInd w:val="0"/>
      </w:pPr>
    </w:p>
    <w:p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nature and circumstances of the violation; </w:t>
      </w:r>
    </w:p>
    <w:p w:rsidR="0077337E" w:rsidRDefault="0077337E" w:rsidP="003E39E2">
      <w:pPr>
        <w:widowControl w:val="0"/>
        <w:autoSpaceDE w:val="0"/>
        <w:autoSpaceDN w:val="0"/>
        <w:adjustRightInd w:val="0"/>
        <w:ind w:left="1440" w:hanging="720"/>
      </w:pPr>
    </w:p>
    <w:p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extent and gravity of the violation; </w:t>
      </w:r>
    </w:p>
    <w:p w:rsidR="0077337E" w:rsidRDefault="0077337E" w:rsidP="003E39E2">
      <w:pPr>
        <w:widowControl w:val="0"/>
        <w:autoSpaceDE w:val="0"/>
        <w:autoSpaceDN w:val="0"/>
        <w:adjustRightInd w:val="0"/>
        <w:ind w:left="1440" w:hanging="720"/>
      </w:pPr>
    </w:p>
    <w:p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degree of the respondent's culpability; </w:t>
      </w:r>
    </w:p>
    <w:p w:rsidR="0077337E" w:rsidRDefault="0077337E" w:rsidP="003E39E2">
      <w:pPr>
        <w:widowControl w:val="0"/>
        <w:autoSpaceDE w:val="0"/>
        <w:autoSpaceDN w:val="0"/>
        <w:adjustRightInd w:val="0"/>
        <w:ind w:left="1440" w:hanging="720"/>
      </w:pPr>
    </w:p>
    <w:p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respondent's history of prior offenses; </w:t>
      </w:r>
    </w:p>
    <w:p w:rsidR="0077337E" w:rsidRDefault="0077337E" w:rsidP="003E39E2">
      <w:pPr>
        <w:widowControl w:val="0"/>
        <w:autoSpaceDE w:val="0"/>
        <w:autoSpaceDN w:val="0"/>
        <w:adjustRightInd w:val="0"/>
        <w:ind w:left="1440" w:hanging="720"/>
      </w:pPr>
    </w:p>
    <w:p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respondent's ability to pay; </w:t>
      </w:r>
    </w:p>
    <w:p w:rsidR="0077337E" w:rsidRDefault="0077337E" w:rsidP="003E39E2">
      <w:pPr>
        <w:widowControl w:val="0"/>
        <w:autoSpaceDE w:val="0"/>
        <w:autoSpaceDN w:val="0"/>
        <w:adjustRightInd w:val="0"/>
        <w:ind w:left="1440" w:hanging="720"/>
      </w:pPr>
    </w:p>
    <w:p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effect on the respondent's ability to continue in business; and </w:t>
      </w:r>
    </w:p>
    <w:p w:rsidR="0077337E" w:rsidRDefault="0077337E" w:rsidP="003E39E2">
      <w:pPr>
        <w:widowControl w:val="0"/>
        <w:autoSpaceDE w:val="0"/>
        <w:autoSpaceDN w:val="0"/>
        <w:adjustRightInd w:val="0"/>
        <w:ind w:left="1440" w:hanging="720"/>
      </w:pPr>
    </w:p>
    <w:p w:rsidR="003E39E2" w:rsidRDefault="003E39E2" w:rsidP="003E39E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Such other matters as justice may require. </w:t>
      </w:r>
    </w:p>
    <w:sectPr w:rsidR="003E39E2" w:rsidSect="003E39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9E2"/>
    <w:rsid w:val="003E39E2"/>
    <w:rsid w:val="00440085"/>
    <w:rsid w:val="005C3366"/>
    <w:rsid w:val="0077337E"/>
    <w:rsid w:val="0083106D"/>
    <w:rsid w:val="00C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