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F98" w:rsidRDefault="00067F98" w:rsidP="00067F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7F98" w:rsidRDefault="00067F98" w:rsidP="00067F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107.102  Persons Holding Federal Exemptions</w:t>
      </w:r>
      <w:r>
        <w:t xml:space="preserve"> </w:t>
      </w:r>
    </w:p>
    <w:p w:rsidR="00067F98" w:rsidRDefault="00067F98" w:rsidP="00067F98">
      <w:pPr>
        <w:widowControl w:val="0"/>
        <w:autoSpaceDE w:val="0"/>
        <w:autoSpaceDN w:val="0"/>
        <w:adjustRightInd w:val="0"/>
      </w:pPr>
    </w:p>
    <w:p w:rsidR="00067F98" w:rsidRDefault="00067F98" w:rsidP="00067F98">
      <w:pPr>
        <w:widowControl w:val="0"/>
        <w:autoSpaceDE w:val="0"/>
        <w:autoSpaceDN w:val="0"/>
        <w:adjustRightInd w:val="0"/>
      </w:pPr>
      <w:r>
        <w:t xml:space="preserve">Any valid exemption issued by the Secretary of the U.S. Department of Transportation under Section 107 of the federal Hazardous Materials Transportation Act (49 U.S.C. Section 1806) shall be considered a valid exemption issued under this subpart. </w:t>
      </w:r>
    </w:p>
    <w:p w:rsidR="00067F98" w:rsidRDefault="00067F98" w:rsidP="00067F98">
      <w:pPr>
        <w:widowControl w:val="0"/>
        <w:autoSpaceDE w:val="0"/>
        <w:autoSpaceDN w:val="0"/>
        <w:adjustRightInd w:val="0"/>
      </w:pPr>
    </w:p>
    <w:p w:rsidR="00067F98" w:rsidRDefault="00067F98" w:rsidP="00067F9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4287, effective April 16, 1982) </w:t>
      </w:r>
    </w:p>
    <w:sectPr w:rsidR="00067F98" w:rsidSect="00067F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7F98"/>
    <w:rsid w:val="00067F98"/>
    <w:rsid w:val="00280F0C"/>
    <w:rsid w:val="005C3366"/>
    <w:rsid w:val="00A52F34"/>
    <w:rsid w:val="00D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