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95" w:rsidRDefault="00376C95" w:rsidP="00376C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6C95" w:rsidRDefault="00376C95" w:rsidP="00376C95">
      <w:pPr>
        <w:widowControl w:val="0"/>
        <w:autoSpaceDE w:val="0"/>
        <w:autoSpaceDN w:val="0"/>
        <w:adjustRightInd w:val="0"/>
      </w:pPr>
      <w:r>
        <w:t xml:space="preserve">AUTHORITY:  Implementing the Randolph-Sheppard Vending Stand Act (20 USC 107) and authorized by the Blind Persons Operating Vending Facilities Act [20 ILCS 2420]. </w:t>
      </w:r>
    </w:p>
    <w:sectPr w:rsidR="00376C95" w:rsidSect="00AA1D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1DA1"/>
    <w:rsid w:val="00016577"/>
    <w:rsid w:val="000A5B2B"/>
    <w:rsid w:val="000F00D3"/>
    <w:rsid w:val="001D4D42"/>
    <w:rsid w:val="00376C95"/>
    <w:rsid w:val="00452A71"/>
    <w:rsid w:val="005C3366"/>
    <w:rsid w:val="00AA1DA1"/>
    <w:rsid w:val="00F3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C9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C9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Randolph-Sheppard Vending Stand Act (20 USC 107) and authorized by the Blind Persons Operating Ve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Randolph-Sheppard Vending Stand Act (20 USC 107) and authorized by the Blind Persons Operating Ve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