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CC" w:rsidRDefault="008B65CC" w:rsidP="008B65CC">
      <w:pPr>
        <w:widowControl w:val="0"/>
        <w:autoSpaceDE w:val="0"/>
        <w:autoSpaceDN w:val="0"/>
        <w:adjustRightInd w:val="0"/>
      </w:pPr>
      <w:bookmarkStart w:id="0" w:name="_GoBack"/>
      <w:bookmarkEnd w:id="0"/>
    </w:p>
    <w:p w:rsidR="008B65CC" w:rsidRDefault="008B65CC" w:rsidP="008B65CC">
      <w:pPr>
        <w:widowControl w:val="0"/>
        <w:autoSpaceDE w:val="0"/>
        <w:autoSpaceDN w:val="0"/>
        <w:adjustRightInd w:val="0"/>
      </w:pPr>
      <w:r>
        <w:rPr>
          <w:b/>
          <w:bCs/>
        </w:rPr>
        <w:t>Section 411.155  Discharge Planning Requirements</w:t>
      </w:r>
      <w:r>
        <w:t xml:space="preserve"> </w:t>
      </w:r>
    </w:p>
    <w:p w:rsidR="008B65CC" w:rsidRDefault="008B65CC" w:rsidP="008B65CC">
      <w:pPr>
        <w:widowControl w:val="0"/>
        <w:autoSpaceDE w:val="0"/>
        <w:autoSpaceDN w:val="0"/>
        <w:adjustRightInd w:val="0"/>
      </w:pPr>
    </w:p>
    <w:p w:rsidR="008B65CC" w:rsidRDefault="008B65CC" w:rsidP="008B65CC">
      <w:pPr>
        <w:widowControl w:val="0"/>
        <w:autoSpaceDE w:val="0"/>
        <w:autoSpaceDN w:val="0"/>
        <w:adjustRightInd w:val="0"/>
        <w:ind w:left="1440" w:hanging="720"/>
      </w:pPr>
      <w:r>
        <w:t>a)</w:t>
      </w:r>
      <w:r>
        <w:tab/>
        <w:t xml:space="preserve">Discharge planning shall begin on the day of admission to the secure child care facility, and shall be included as a primary component of the master individual treatment plan (ITP) or rehabilitative services plan (RSP) described in Section 411.120(b) of this Part.  Subsequent discharge </w:t>
      </w:r>
      <w:proofErr w:type="spellStart"/>
      <w:r>
        <w:t>staffings</w:t>
      </w:r>
      <w:proofErr w:type="spellEnd"/>
      <w:r>
        <w:t xml:space="preserve"> shall be conducted no less frequently than every 30 days and shall include the participants required in Section 411.120(b).  If the target discharge placement is a community-based living arrangement, a representative of the Child and Adolescent Local Area Network Child and Family Team shall also attend the discharge </w:t>
      </w:r>
      <w:proofErr w:type="spellStart"/>
      <w:r>
        <w:t>staffings</w:t>
      </w:r>
      <w:proofErr w:type="spellEnd"/>
      <w:r>
        <w:t xml:space="preserve">. </w:t>
      </w:r>
    </w:p>
    <w:p w:rsidR="00E9065D" w:rsidRDefault="00E9065D" w:rsidP="008B65CC">
      <w:pPr>
        <w:widowControl w:val="0"/>
        <w:autoSpaceDE w:val="0"/>
        <w:autoSpaceDN w:val="0"/>
        <w:adjustRightInd w:val="0"/>
        <w:ind w:left="1440" w:hanging="720"/>
      </w:pPr>
    </w:p>
    <w:p w:rsidR="008B65CC" w:rsidRDefault="008B65CC" w:rsidP="008B65CC">
      <w:pPr>
        <w:widowControl w:val="0"/>
        <w:autoSpaceDE w:val="0"/>
        <w:autoSpaceDN w:val="0"/>
        <w:adjustRightInd w:val="0"/>
        <w:ind w:left="1440" w:hanging="720"/>
      </w:pPr>
      <w:r>
        <w:t>b)</w:t>
      </w:r>
      <w:r>
        <w:tab/>
        <w:t xml:space="preserve">Criteria for assessing readiness for discharge shall be cessation or reduction of the symptoms and/or maladaptive behavior that led to the admission.  Improvement shall be tied to reduction of risk issues presented by the child or youth and stabilization in the secure child care facility. </w:t>
      </w:r>
    </w:p>
    <w:p w:rsidR="00E9065D" w:rsidRDefault="00E9065D" w:rsidP="008B65CC">
      <w:pPr>
        <w:widowControl w:val="0"/>
        <w:autoSpaceDE w:val="0"/>
        <w:autoSpaceDN w:val="0"/>
        <w:adjustRightInd w:val="0"/>
        <w:ind w:left="1440" w:hanging="720"/>
      </w:pPr>
    </w:p>
    <w:p w:rsidR="008B65CC" w:rsidRDefault="008B65CC" w:rsidP="008B65CC">
      <w:pPr>
        <w:widowControl w:val="0"/>
        <w:autoSpaceDE w:val="0"/>
        <w:autoSpaceDN w:val="0"/>
        <w:adjustRightInd w:val="0"/>
        <w:ind w:left="1440" w:hanging="720"/>
      </w:pPr>
      <w:r>
        <w:t>c)</w:t>
      </w:r>
      <w:r>
        <w:tab/>
        <w:t xml:space="preserve">Continued placement in a secure child care facility is limited to children and youth who are less than 18 years of age, who are subject to placement under the Children and Family Services Act and who are not subject to placement in a correctional facility operated  pursuant to Section 3-15-2 of the Unified Code of Corrections [730 ILCS 5/3-15-2]. </w:t>
      </w:r>
    </w:p>
    <w:sectPr w:rsidR="008B65CC" w:rsidSect="008B65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5CC"/>
    <w:rsid w:val="00273F35"/>
    <w:rsid w:val="005C3366"/>
    <w:rsid w:val="005D2076"/>
    <w:rsid w:val="008B65CC"/>
    <w:rsid w:val="009F2E41"/>
    <w:rsid w:val="00E9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