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94" w:rsidRDefault="00684394" w:rsidP="0068439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84394" w:rsidRDefault="00684394" w:rsidP="00684394">
      <w:pPr>
        <w:widowControl w:val="0"/>
        <w:autoSpaceDE w:val="0"/>
        <w:autoSpaceDN w:val="0"/>
        <w:adjustRightInd w:val="0"/>
        <w:ind w:left="720" w:hanging="720"/>
      </w:pPr>
      <w:r>
        <w:t>362.1</w:t>
      </w:r>
      <w:r>
        <w:tab/>
      </w:r>
      <w:r w:rsidR="00AB5ADD">
        <w:tab/>
      </w:r>
      <w:r>
        <w:t xml:space="preserve">Purpose </w:t>
      </w:r>
    </w:p>
    <w:p w:rsidR="00684394" w:rsidRDefault="00684394" w:rsidP="00684394">
      <w:pPr>
        <w:widowControl w:val="0"/>
        <w:autoSpaceDE w:val="0"/>
        <w:autoSpaceDN w:val="0"/>
        <w:adjustRightInd w:val="0"/>
        <w:ind w:left="720" w:hanging="720"/>
      </w:pPr>
      <w:r>
        <w:t>362.2</w:t>
      </w:r>
      <w:r w:rsidR="00AB5ADD">
        <w:tab/>
      </w:r>
      <w:r>
        <w:tab/>
        <w:t xml:space="preserve">Definitions </w:t>
      </w:r>
    </w:p>
    <w:p w:rsidR="00684394" w:rsidRDefault="00684394" w:rsidP="00684394">
      <w:pPr>
        <w:widowControl w:val="0"/>
        <w:autoSpaceDE w:val="0"/>
        <w:autoSpaceDN w:val="0"/>
        <w:adjustRightInd w:val="0"/>
        <w:ind w:left="720" w:hanging="720"/>
      </w:pPr>
      <w:r>
        <w:t>362.3</w:t>
      </w:r>
      <w:r>
        <w:tab/>
      </w:r>
      <w:r w:rsidR="00AB5ADD">
        <w:tab/>
      </w:r>
      <w:r>
        <w:t xml:space="preserve">Purpose of the Fund </w:t>
      </w:r>
    </w:p>
    <w:p w:rsidR="00684394" w:rsidRDefault="00684394" w:rsidP="00684394">
      <w:pPr>
        <w:widowControl w:val="0"/>
        <w:autoSpaceDE w:val="0"/>
        <w:autoSpaceDN w:val="0"/>
        <w:adjustRightInd w:val="0"/>
        <w:ind w:left="720" w:hanging="720"/>
      </w:pPr>
      <w:r>
        <w:t>362.4</w:t>
      </w:r>
      <w:r>
        <w:tab/>
      </w:r>
      <w:r w:rsidR="00AB5ADD">
        <w:tab/>
      </w:r>
      <w:r>
        <w:t xml:space="preserve">Sources of the Fund </w:t>
      </w:r>
    </w:p>
    <w:p w:rsidR="00684394" w:rsidRDefault="00684394" w:rsidP="00684394">
      <w:pPr>
        <w:widowControl w:val="0"/>
        <w:autoSpaceDE w:val="0"/>
        <w:autoSpaceDN w:val="0"/>
        <w:adjustRightInd w:val="0"/>
        <w:ind w:left="720" w:hanging="720"/>
      </w:pPr>
      <w:r>
        <w:t>362.5</w:t>
      </w:r>
      <w:r>
        <w:tab/>
      </w:r>
      <w:r w:rsidR="00AB5ADD">
        <w:tab/>
      </w:r>
      <w:r>
        <w:t xml:space="preserve">Handling of the Fund </w:t>
      </w:r>
    </w:p>
    <w:p w:rsidR="00684394" w:rsidRDefault="00684394" w:rsidP="00684394">
      <w:pPr>
        <w:widowControl w:val="0"/>
        <w:autoSpaceDE w:val="0"/>
        <w:autoSpaceDN w:val="0"/>
        <w:adjustRightInd w:val="0"/>
        <w:ind w:left="720" w:hanging="720"/>
      </w:pPr>
      <w:r>
        <w:t>362.6</w:t>
      </w:r>
      <w:r>
        <w:tab/>
      </w:r>
      <w:r w:rsidR="00AB5ADD">
        <w:tab/>
      </w:r>
      <w:r>
        <w:t xml:space="preserve">Department and Employee Liability </w:t>
      </w:r>
    </w:p>
    <w:p w:rsidR="00684394" w:rsidRDefault="00684394" w:rsidP="00684394">
      <w:pPr>
        <w:widowControl w:val="0"/>
        <w:autoSpaceDE w:val="0"/>
        <w:autoSpaceDN w:val="0"/>
        <w:adjustRightInd w:val="0"/>
        <w:ind w:left="720" w:hanging="720"/>
      </w:pPr>
      <w:r>
        <w:t>362.7</w:t>
      </w:r>
      <w:r>
        <w:tab/>
      </w:r>
      <w:r w:rsidR="00AB5ADD">
        <w:tab/>
      </w:r>
      <w:r>
        <w:t xml:space="preserve">Criteria for Bail </w:t>
      </w:r>
    </w:p>
    <w:sectPr w:rsidR="00684394" w:rsidSect="006843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4394"/>
    <w:rsid w:val="00684394"/>
    <w:rsid w:val="009C313D"/>
    <w:rsid w:val="00AB5ADD"/>
    <w:rsid w:val="00C916C6"/>
    <w:rsid w:val="00DE112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