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313F" w14:textId="77777777" w:rsidR="00615386" w:rsidRDefault="00615386" w:rsidP="00615386">
      <w:pPr>
        <w:widowControl w:val="0"/>
        <w:autoSpaceDE w:val="0"/>
        <w:autoSpaceDN w:val="0"/>
        <w:adjustRightInd w:val="0"/>
      </w:pPr>
    </w:p>
    <w:p w14:paraId="73A1FAF3" w14:textId="77777777" w:rsidR="00615386" w:rsidRDefault="00615386" w:rsidP="006153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316.120  Permanency Hearings</w:t>
      </w:r>
      <w:r>
        <w:t xml:space="preserve"> </w:t>
      </w:r>
    </w:p>
    <w:p w14:paraId="28253DE8" w14:textId="77777777" w:rsidR="00615386" w:rsidRDefault="00615386" w:rsidP="00615386">
      <w:pPr>
        <w:widowControl w:val="0"/>
        <w:autoSpaceDE w:val="0"/>
        <w:autoSpaceDN w:val="0"/>
        <w:adjustRightInd w:val="0"/>
      </w:pPr>
    </w:p>
    <w:p w14:paraId="37C4AA0D" w14:textId="1B44CEF9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or its </w:t>
      </w:r>
      <w:r w:rsidR="00371E35">
        <w:t>child welfare contributing</w:t>
      </w:r>
      <w:r>
        <w:t xml:space="preserve"> agency will participate in permanency hearings conducted by the court at 12 months following the temporary custody hearing and every six months thereafter to</w:t>
      </w:r>
      <w:r w:rsidR="00371E35">
        <w:t xml:space="preserve"> assist the court in</w:t>
      </w:r>
      <w:r>
        <w:t xml:space="preserve">: </w:t>
      </w:r>
    </w:p>
    <w:p w14:paraId="0EBC741E" w14:textId="77777777" w:rsidR="007620AA" w:rsidRDefault="007620AA" w:rsidP="00CA2BD3"/>
    <w:p w14:paraId="6EBF49A2" w14:textId="39C4EEB0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71E35">
        <w:t>selecting</w:t>
      </w:r>
      <w:r>
        <w:t xml:space="preserve"> the permanency goal; </w:t>
      </w:r>
    </w:p>
    <w:p w14:paraId="3B78C888" w14:textId="77777777" w:rsidR="007620AA" w:rsidRDefault="007620AA" w:rsidP="00CA2BD3"/>
    <w:p w14:paraId="23B1ECD7" w14:textId="1CCAB03E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71E35">
        <w:t>reviewing</w:t>
      </w:r>
      <w:r>
        <w:t xml:space="preserve"> the appropriateness of the services contained in the plan and whether those services</w:t>
      </w:r>
      <w:r w:rsidR="00131918">
        <w:t>, including sibling visitation and contact,</w:t>
      </w:r>
      <w:r>
        <w:t xml:space="preserve"> have been provided </w:t>
      </w:r>
      <w:r w:rsidR="00131918">
        <w:t>as specified</w:t>
      </w:r>
      <w:r w:rsidR="00BD5CDA">
        <w:t xml:space="preserve">; </w:t>
      </w:r>
      <w:r>
        <w:t xml:space="preserve">and </w:t>
      </w:r>
    </w:p>
    <w:p w14:paraId="7BD7A900" w14:textId="77777777" w:rsidR="007620AA" w:rsidRDefault="007620AA" w:rsidP="00CA2BD3"/>
    <w:p w14:paraId="1B7B6E59" w14:textId="47226D08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71E35">
        <w:t>determining</w:t>
      </w:r>
      <w:r>
        <w:t xml:space="preserve"> whether reasonable efforts have been made by all parties to the </w:t>
      </w:r>
      <w:r w:rsidR="00371E35">
        <w:t>case</w:t>
      </w:r>
      <w:r>
        <w:t xml:space="preserve"> plan to achieve the goal; and </w:t>
      </w:r>
    </w:p>
    <w:p w14:paraId="6944FDDC" w14:textId="77777777" w:rsidR="007620AA" w:rsidRDefault="007620AA" w:rsidP="00CA2BD3"/>
    <w:p w14:paraId="16CBBD3D" w14:textId="0EBDA05B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71E35">
        <w:t>evaluating</w:t>
      </w:r>
      <w:r>
        <w:t xml:space="preserve"> whether the </w:t>
      </w:r>
      <w:r w:rsidR="00371E35">
        <w:t xml:space="preserve">case </w:t>
      </w:r>
      <w:r>
        <w:t xml:space="preserve">plan and </w:t>
      </w:r>
      <w:r w:rsidR="00371E35">
        <w:t xml:space="preserve">permanency </w:t>
      </w:r>
      <w:r>
        <w:t xml:space="preserve">goal have been achieved. </w:t>
      </w:r>
    </w:p>
    <w:p w14:paraId="2127783F" w14:textId="77777777" w:rsidR="007620AA" w:rsidRDefault="007620AA" w:rsidP="00CA2BD3"/>
    <w:p w14:paraId="023CCD60" w14:textId="4CCCEAB6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or its </w:t>
      </w:r>
      <w:r w:rsidR="00371E35">
        <w:t>child welfare contributing</w:t>
      </w:r>
      <w:r>
        <w:t xml:space="preserve"> agency shall provide, no later than 14 days in advance of the hearing, a copy of the most recent </w:t>
      </w:r>
      <w:r w:rsidR="00371E35">
        <w:t>case</w:t>
      </w:r>
      <w:r>
        <w:t xml:space="preserve"> plan</w:t>
      </w:r>
      <w:r w:rsidR="00131918">
        <w:t xml:space="preserve"> and Visitation and Contact Plan</w:t>
      </w:r>
      <w:r>
        <w:t xml:space="preserve">, prepared within the prior six months, to the court and all parties to the permanency hearings. </w:t>
      </w:r>
    </w:p>
    <w:p w14:paraId="719F9019" w14:textId="77777777" w:rsidR="007620AA" w:rsidRDefault="007620AA" w:rsidP="00CA2BD3"/>
    <w:p w14:paraId="11680014" w14:textId="6C5521BB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not contained in the </w:t>
      </w:r>
      <w:r w:rsidR="00371E35">
        <w:t xml:space="preserve">case </w:t>
      </w:r>
      <w:r>
        <w:t xml:space="preserve">plan, the Department or its </w:t>
      </w:r>
      <w:r w:rsidR="00371E35">
        <w:t>child welfare contributing</w:t>
      </w:r>
      <w:r>
        <w:t xml:space="preserve"> agency shall also include a report setting forth: </w:t>
      </w:r>
    </w:p>
    <w:p w14:paraId="5DD7C685" w14:textId="77777777" w:rsidR="007620AA" w:rsidRDefault="007620AA" w:rsidP="00CA2BD3"/>
    <w:p w14:paraId="39E7D28E" w14:textId="5E027E80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special physical, psychological, educational, medical, emotional, or other needs of the </w:t>
      </w:r>
      <w:r w:rsidR="00371E35">
        <w:t>child or youth</w:t>
      </w:r>
      <w:r>
        <w:t xml:space="preserve"> or</w:t>
      </w:r>
      <w:r w:rsidR="000B3441">
        <w:t xml:space="preserve"> the</w:t>
      </w:r>
      <w:r>
        <w:t xml:space="preserve"> family that are relevant to a permanency or placement determination; and </w:t>
      </w:r>
    </w:p>
    <w:p w14:paraId="0D855D31" w14:textId="77777777" w:rsidR="007620AA" w:rsidRDefault="007620AA" w:rsidP="00CA2BD3"/>
    <w:p w14:paraId="5054DED7" w14:textId="77777777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any minor age 16 or over, a written description of the programs or services that will enable the minor to prepare for independent living. </w:t>
      </w:r>
    </w:p>
    <w:p w14:paraId="62F5C73A" w14:textId="77777777" w:rsidR="007620AA" w:rsidRDefault="007620AA" w:rsidP="00CA2BD3"/>
    <w:p w14:paraId="09E8F635" w14:textId="61660013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Department's or its provider agency's written report </w:t>
      </w:r>
      <w:r w:rsidR="00371E35">
        <w:t>shall indicate the reasons the permanency goal was selected and the reason the other goals were inappropriate and not in the child’s best interest.</w:t>
      </w:r>
      <w:r>
        <w:t xml:space="preserve"> </w:t>
      </w:r>
    </w:p>
    <w:p w14:paraId="493A0594" w14:textId="77777777" w:rsidR="007620AA" w:rsidRPr="00FA4675" w:rsidRDefault="007620AA" w:rsidP="00CA2BD3"/>
    <w:p w14:paraId="51F4CCB1" w14:textId="0A04A21C" w:rsidR="00E91D79" w:rsidRPr="00FA4675" w:rsidRDefault="00E91D79" w:rsidP="00FA4675">
      <w:pPr>
        <w:ind w:left="1440" w:hanging="720"/>
      </w:pPr>
      <w:r w:rsidRPr="00FA4675">
        <w:t>e)</w:t>
      </w:r>
      <w:r w:rsidRPr="00FA4675">
        <w:tab/>
      </w:r>
      <w:r w:rsidR="000B3441">
        <w:t>If the goal for the child or youth is continuing substitute care the</w:t>
      </w:r>
      <w:r w:rsidRPr="00FA4675">
        <w:t xml:space="preserve"> Department's or its provider agency's written report </w:t>
      </w:r>
      <w:r w:rsidR="00371E35">
        <w:t>shall indicate the reasons the goal of continuing substitute care is</w:t>
      </w:r>
      <w:r w:rsidR="00371E35" w:rsidRPr="002A5811">
        <w:t xml:space="preserve"> </w:t>
      </w:r>
      <w:r w:rsidR="00371E35">
        <w:t>appropriate and the other permanency goals are inappropriate</w:t>
      </w:r>
      <w:r w:rsidRPr="00FA4675">
        <w:t xml:space="preserve"> based on the child</w:t>
      </w:r>
      <w:r w:rsidR="00FA4675" w:rsidRPr="00FA4675">
        <w:t>'</w:t>
      </w:r>
      <w:r w:rsidRPr="00FA4675">
        <w:t xml:space="preserve">s </w:t>
      </w:r>
      <w:r w:rsidR="00371E35">
        <w:t xml:space="preserve">or youth's </w:t>
      </w:r>
      <w:r w:rsidRPr="00FA4675">
        <w:t>best interest</w:t>
      </w:r>
      <w:r w:rsidR="00371E35">
        <w:t>.</w:t>
      </w:r>
      <w:r w:rsidRPr="00FA4675">
        <w:t xml:space="preserve"> </w:t>
      </w:r>
    </w:p>
    <w:p w14:paraId="375D788B" w14:textId="77777777" w:rsidR="00E91D79" w:rsidRDefault="00E91D79" w:rsidP="00CA2BD3"/>
    <w:p w14:paraId="17E648F6" w14:textId="6ECBB35B" w:rsidR="00615386" w:rsidRDefault="00E91D79" w:rsidP="006153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615386">
        <w:tab/>
        <w:t xml:space="preserve">The Department's or its </w:t>
      </w:r>
      <w:r w:rsidR="00641417">
        <w:t>child welfare contributing</w:t>
      </w:r>
      <w:r w:rsidR="00615386">
        <w:t xml:space="preserve"> agency's caseworker is required to appear and testify</w:t>
      </w:r>
      <w:r w:rsidR="00641417">
        <w:t xml:space="preserve"> (if called to do so)</w:t>
      </w:r>
      <w:r w:rsidR="00615386">
        <w:t xml:space="preserve"> at the hearing and prepare a written report for the court</w:t>
      </w:r>
      <w:r w:rsidR="00641417">
        <w:t>, as outlined in this Section</w:t>
      </w:r>
      <w:r w:rsidR="00615386">
        <w:t xml:space="preserve">. </w:t>
      </w:r>
    </w:p>
    <w:p w14:paraId="7889BE62" w14:textId="77777777" w:rsidR="00E91D79" w:rsidRDefault="00E91D79" w:rsidP="00CA2BD3"/>
    <w:p w14:paraId="5759BE92" w14:textId="24978D54" w:rsidR="00E91D79" w:rsidRPr="00D55B37" w:rsidRDefault="00641417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35237">
        <w:t>12195</w:t>
      </w:r>
      <w:r w:rsidRPr="00524821">
        <w:t xml:space="preserve">, effective </w:t>
      </w:r>
      <w:r w:rsidR="00B35237">
        <w:t>August 1, 2024</w:t>
      </w:r>
      <w:r w:rsidRPr="00524821">
        <w:t>)</w:t>
      </w:r>
    </w:p>
    <w:sectPr w:rsidR="00E91D79" w:rsidRPr="00D55B37" w:rsidSect="00615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386"/>
    <w:rsid w:val="000B3441"/>
    <w:rsid w:val="00123656"/>
    <w:rsid w:val="00131918"/>
    <w:rsid w:val="00282817"/>
    <w:rsid w:val="003637B7"/>
    <w:rsid w:val="00371E35"/>
    <w:rsid w:val="005C3366"/>
    <w:rsid w:val="00615386"/>
    <w:rsid w:val="00641417"/>
    <w:rsid w:val="007620AA"/>
    <w:rsid w:val="008A5D0A"/>
    <w:rsid w:val="009C66C4"/>
    <w:rsid w:val="00B35237"/>
    <w:rsid w:val="00BD5CDA"/>
    <w:rsid w:val="00BE278D"/>
    <w:rsid w:val="00CA2BD3"/>
    <w:rsid w:val="00E34FBB"/>
    <w:rsid w:val="00E46B5D"/>
    <w:rsid w:val="00E674A8"/>
    <w:rsid w:val="00E91D79"/>
    <w:rsid w:val="00EB6B4A"/>
    <w:rsid w:val="00F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5DC6D3"/>
  <w15:docId w15:val="{CF340C47-E97B-4AC8-A860-4F859455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1D79"/>
    <w:pPr>
      <w:spacing w:before="100" w:beforeAutospacing="1" w:after="100" w:afterAutospacing="1"/>
    </w:pPr>
  </w:style>
  <w:style w:type="paragraph" w:customStyle="1" w:styleId="JCARSourceNote">
    <w:name w:val="JCAR Source Note"/>
    <w:basedOn w:val="Normal"/>
    <w:rsid w:val="00E9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3</cp:revision>
  <dcterms:created xsi:type="dcterms:W3CDTF">2024-07-23T18:16:00Z</dcterms:created>
  <dcterms:modified xsi:type="dcterms:W3CDTF">2024-08-15T15:49:00Z</dcterms:modified>
</cp:coreProperties>
</file>