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C113" w14:textId="77777777" w:rsidR="002F7820" w:rsidRPr="00AD3DF0" w:rsidRDefault="002F7820" w:rsidP="002F7820">
      <w:pPr>
        <w:ind w:left="720" w:hanging="720"/>
        <w:rPr>
          <w:bCs/>
        </w:rPr>
      </w:pPr>
    </w:p>
    <w:p w14:paraId="7680ABC6" w14:textId="77777777" w:rsidR="002655D0" w:rsidRPr="002655D0" w:rsidRDefault="002655D0" w:rsidP="002F7820">
      <w:pPr>
        <w:ind w:left="720" w:hanging="720"/>
        <w:rPr>
          <w:b/>
        </w:rPr>
      </w:pPr>
      <w:r w:rsidRPr="002655D0">
        <w:rPr>
          <w:b/>
        </w:rPr>
        <w:t>Section 150.130  Appeals</w:t>
      </w:r>
    </w:p>
    <w:p w14:paraId="414ABBC6" w14:textId="77777777" w:rsidR="002655D0" w:rsidRPr="002F7820" w:rsidRDefault="002655D0" w:rsidP="002F7820"/>
    <w:p w14:paraId="6B1263AF" w14:textId="77777777" w:rsidR="002655D0" w:rsidRPr="002F7820" w:rsidRDefault="002655D0" w:rsidP="002F7820">
      <w:r w:rsidRPr="002F7820">
        <w:t>Providers will be eligible to appeal any of the issues defined at 42 CFR 495.370.  All appeals</w:t>
      </w:r>
      <w:r w:rsidR="002F7820" w:rsidRPr="002F7820">
        <w:t xml:space="preserve"> </w:t>
      </w:r>
      <w:r w:rsidRPr="002F7820">
        <w:t xml:space="preserve">will be processed in accordance with 89 </w:t>
      </w:r>
      <w:smartTag w:uri="urn:schemas-microsoft-com:office:smarttags" w:element="State">
        <w:smartTag w:uri="urn:schemas-microsoft-com:office:smarttags" w:element="place">
          <w:r w:rsidRPr="002F7820">
            <w:t>Ill</w:t>
          </w:r>
          <w:r w:rsidR="00FC76EC">
            <w:t>.</w:t>
          </w:r>
        </w:smartTag>
      </w:smartTag>
      <w:r w:rsidRPr="002F7820">
        <w:t xml:space="preserve"> Adm</w:t>
      </w:r>
      <w:r w:rsidR="00FC76EC">
        <w:t>.</w:t>
      </w:r>
      <w:r w:rsidRPr="002F7820">
        <w:t xml:space="preserve"> Code 104</w:t>
      </w:r>
      <w:r w:rsidR="00FC76EC">
        <w:t>.</w:t>
      </w:r>
      <w:r w:rsidRPr="002F7820">
        <w:t>Subpart C.</w:t>
      </w:r>
    </w:p>
    <w:sectPr w:rsidR="002655D0" w:rsidRPr="002F78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C51E" w14:textId="77777777" w:rsidR="002622B1" w:rsidRDefault="002622B1">
      <w:r>
        <w:separator/>
      </w:r>
    </w:p>
  </w:endnote>
  <w:endnote w:type="continuationSeparator" w:id="0">
    <w:p w14:paraId="7AD30FFC" w14:textId="77777777" w:rsidR="002622B1" w:rsidRDefault="0026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18BA" w14:textId="77777777" w:rsidR="002622B1" w:rsidRDefault="002622B1">
      <w:r>
        <w:separator/>
      </w:r>
    </w:p>
  </w:footnote>
  <w:footnote w:type="continuationSeparator" w:id="0">
    <w:p w14:paraId="6330BCF5" w14:textId="77777777" w:rsidR="002622B1" w:rsidRDefault="0026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5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70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2B1"/>
    <w:rsid w:val="00264AD1"/>
    <w:rsid w:val="002655D0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820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4139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89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DF0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63D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6EC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0DDABC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2012-06-21T21:25:00Z</dcterms:created>
  <dcterms:modified xsi:type="dcterms:W3CDTF">2025-07-17T21:11:00Z</dcterms:modified>
</cp:coreProperties>
</file>