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7BA9" w14:textId="77777777" w:rsidR="007A1066" w:rsidRDefault="007A1066" w:rsidP="00627874">
      <w:pPr>
        <w:widowControl w:val="0"/>
        <w:autoSpaceDE w:val="0"/>
        <w:autoSpaceDN w:val="0"/>
        <w:adjustRightInd w:val="0"/>
        <w:rPr>
          <w:b/>
          <w:bCs/>
        </w:rPr>
      </w:pPr>
    </w:p>
    <w:p w14:paraId="44CE6044" w14:textId="3169DA0A" w:rsidR="00627874" w:rsidRDefault="00627874" w:rsidP="006278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121.60  Net Monthly Income Eligibility Standards</w:t>
      </w:r>
      <w:r>
        <w:t xml:space="preserve"> </w:t>
      </w:r>
    </w:p>
    <w:p w14:paraId="3C4FF5EF" w14:textId="77777777" w:rsidR="00627874" w:rsidRDefault="00627874" w:rsidP="003E24B8"/>
    <w:p w14:paraId="629A9482" w14:textId="77777777" w:rsidR="00627874" w:rsidRDefault="00627874" w:rsidP="006278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Households that are not categorically eligible whose net monthly income does not exceed the maximum monthly income standards shall be assigned SNAP benefits based on the net monthly SNAP income. </w:t>
      </w:r>
    </w:p>
    <w:p w14:paraId="5F403264" w14:textId="77777777" w:rsidR="00627874" w:rsidRDefault="00627874" w:rsidP="003E24B8"/>
    <w:p w14:paraId="3CDA0723" w14:textId="77777777" w:rsidR="00627874" w:rsidRDefault="00627874" w:rsidP="0062787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maximum net monthly income standards are: </w:t>
      </w:r>
    </w:p>
    <w:p w14:paraId="13509745" w14:textId="77777777" w:rsidR="00627874" w:rsidRDefault="00627874" w:rsidP="006278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48" w:type="dxa"/>
        <w:tblLayout w:type="fixed"/>
        <w:tblLook w:val="01E0" w:firstRow="1" w:lastRow="1" w:firstColumn="1" w:lastColumn="1" w:noHBand="0" w:noVBand="0"/>
      </w:tblPr>
      <w:tblGrid>
        <w:gridCol w:w="3927"/>
        <w:gridCol w:w="1503"/>
      </w:tblGrid>
      <w:tr w:rsidR="00627874" w14:paraId="0FADFC20" w14:textId="77777777" w:rsidTr="004A552B">
        <w:trPr>
          <w:trHeight w:val="468"/>
        </w:trPr>
        <w:tc>
          <w:tcPr>
            <w:tcW w:w="3927" w:type="dxa"/>
            <w:hideMark/>
          </w:tcPr>
          <w:p w14:paraId="15C7E578" w14:textId="77777777" w:rsidR="00627874" w:rsidRDefault="006278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Household Size</w:t>
            </w:r>
          </w:p>
        </w:tc>
        <w:tc>
          <w:tcPr>
            <w:tcW w:w="1503" w:type="dxa"/>
            <w:hideMark/>
          </w:tcPr>
          <w:p w14:paraId="30BAF74C" w14:textId="77777777" w:rsidR="00627874" w:rsidRDefault="00627874">
            <w:pPr>
              <w:widowControl w:val="0"/>
              <w:autoSpaceDE w:val="0"/>
              <w:autoSpaceDN w:val="0"/>
              <w:adjustRightInd w:val="0"/>
              <w:ind w:left="-117" w:right="-93"/>
              <w:jc w:val="center"/>
            </w:pPr>
            <w:r>
              <w:t>Amount</w:t>
            </w:r>
          </w:p>
        </w:tc>
      </w:tr>
      <w:tr w:rsidR="00627874" w14:paraId="40FBA2AA" w14:textId="77777777" w:rsidTr="004A552B">
        <w:tc>
          <w:tcPr>
            <w:tcW w:w="3927" w:type="dxa"/>
            <w:hideMark/>
          </w:tcPr>
          <w:p w14:paraId="20ADFF1D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1</w:t>
            </w:r>
            <w:r>
              <w:tab/>
            </w:r>
          </w:p>
        </w:tc>
        <w:tc>
          <w:tcPr>
            <w:tcW w:w="1503" w:type="dxa"/>
          </w:tcPr>
          <w:p w14:paraId="5B1147C8" w14:textId="70609507" w:rsidR="00627874" w:rsidRDefault="00627874">
            <w:pPr>
              <w:widowControl w:val="0"/>
              <w:autoSpaceDE w:val="0"/>
              <w:autoSpaceDN w:val="0"/>
              <w:adjustRightInd w:val="0"/>
              <w:ind w:left="-108" w:right="6"/>
              <w:jc w:val="right"/>
            </w:pPr>
            <w:r>
              <w:t xml:space="preserve">$   </w:t>
            </w:r>
            <w:r w:rsidR="00000733">
              <w:t>1,255</w:t>
            </w:r>
          </w:p>
        </w:tc>
      </w:tr>
      <w:tr w:rsidR="00627874" w14:paraId="0AD808D8" w14:textId="77777777" w:rsidTr="004A552B">
        <w:tc>
          <w:tcPr>
            <w:tcW w:w="3927" w:type="dxa"/>
            <w:hideMark/>
          </w:tcPr>
          <w:p w14:paraId="109C39E3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2</w:t>
            </w:r>
            <w:r>
              <w:tab/>
            </w:r>
          </w:p>
        </w:tc>
        <w:tc>
          <w:tcPr>
            <w:tcW w:w="1503" w:type="dxa"/>
          </w:tcPr>
          <w:p w14:paraId="55612512" w14:textId="44421AA3" w:rsidR="00627874" w:rsidRDefault="00000733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>
              <w:t>1,704</w:t>
            </w:r>
          </w:p>
        </w:tc>
      </w:tr>
      <w:tr w:rsidR="00627874" w14:paraId="4C5CE958" w14:textId="77777777" w:rsidTr="004A552B">
        <w:tc>
          <w:tcPr>
            <w:tcW w:w="3927" w:type="dxa"/>
            <w:hideMark/>
          </w:tcPr>
          <w:p w14:paraId="1CD81020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3</w:t>
            </w:r>
            <w:r>
              <w:tab/>
            </w:r>
          </w:p>
        </w:tc>
        <w:tc>
          <w:tcPr>
            <w:tcW w:w="1503" w:type="dxa"/>
            <w:hideMark/>
          </w:tcPr>
          <w:p w14:paraId="25E7E585" w14:textId="3704CB0A" w:rsidR="00627874" w:rsidRDefault="00000733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>
              <w:t>2,152</w:t>
            </w:r>
          </w:p>
        </w:tc>
      </w:tr>
      <w:tr w:rsidR="00627874" w14:paraId="62E94D7F" w14:textId="77777777" w:rsidTr="004A552B">
        <w:tc>
          <w:tcPr>
            <w:tcW w:w="3927" w:type="dxa"/>
            <w:hideMark/>
          </w:tcPr>
          <w:p w14:paraId="2370C07E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4</w:t>
            </w:r>
            <w:r>
              <w:tab/>
            </w:r>
          </w:p>
        </w:tc>
        <w:tc>
          <w:tcPr>
            <w:tcW w:w="1503" w:type="dxa"/>
            <w:hideMark/>
          </w:tcPr>
          <w:p w14:paraId="7AB73E98" w14:textId="4DEE00B8" w:rsidR="00627874" w:rsidRDefault="00000733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>
              <w:t>2,600</w:t>
            </w:r>
          </w:p>
        </w:tc>
      </w:tr>
      <w:tr w:rsidR="00627874" w14:paraId="4913CF3D" w14:textId="77777777" w:rsidTr="004A552B">
        <w:tc>
          <w:tcPr>
            <w:tcW w:w="3927" w:type="dxa"/>
            <w:hideMark/>
          </w:tcPr>
          <w:p w14:paraId="2B4ED9C7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5</w:t>
            </w:r>
            <w:r>
              <w:tab/>
            </w:r>
          </w:p>
        </w:tc>
        <w:tc>
          <w:tcPr>
            <w:tcW w:w="1503" w:type="dxa"/>
          </w:tcPr>
          <w:p w14:paraId="6C886EE9" w14:textId="3E9E74A0" w:rsidR="00627874" w:rsidRDefault="00000733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>
              <w:t>3,049</w:t>
            </w:r>
          </w:p>
        </w:tc>
      </w:tr>
      <w:tr w:rsidR="00627874" w14:paraId="13007B26" w14:textId="77777777" w:rsidTr="004A552B">
        <w:tc>
          <w:tcPr>
            <w:tcW w:w="3927" w:type="dxa"/>
            <w:hideMark/>
          </w:tcPr>
          <w:p w14:paraId="180234E6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6</w:t>
            </w:r>
            <w:r>
              <w:tab/>
            </w:r>
          </w:p>
        </w:tc>
        <w:tc>
          <w:tcPr>
            <w:tcW w:w="1503" w:type="dxa"/>
          </w:tcPr>
          <w:p w14:paraId="43078830" w14:textId="5FECF989" w:rsidR="00627874" w:rsidRDefault="00000733">
            <w:pPr>
              <w:widowControl w:val="0"/>
              <w:tabs>
                <w:tab w:val="decimal" w:pos="-6132"/>
              </w:tabs>
              <w:autoSpaceDE w:val="0"/>
              <w:autoSpaceDN w:val="0"/>
              <w:adjustRightInd w:val="0"/>
              <w:ind w:left="-108" w:right="6"/>
              <w:jc w:val="right"/>
            </w:pPr>
            <w:r>
              <w:t>3,497</w:t>
            </w:r>
          </w:p>
        </w:tc>
      </w:tr>
      <w:tr w:rsidR="00627874" w14:paraId="3E6C5268" w14:textId="77777777" w:rsidTr="004A552B">
        <w:tc>
          <w:tcPr>
            <w:tcW w:w="3927" w:type="dxa"/>
            <w:hideMark/>
          </w:tcPr>
          <w:p w14:paraId="14810EE3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7</w:t>
            </w:r>
            <w:r>
              <w:tab/>
            </w:r>
          </w:p>
        </w:tc>
        <w:tc>
          <w:tcPr>
            <w:tcW w:w="1503" w:type="dxa"/>
          </w:tcPr>
          <w:p w14:paraId="4110D947" w14:textId="212DEDB0" w:rsidR="00627874" w:rsidRDefault="00000733">
            <w:pPr>
              <w:widowControl w:val="0"/>
              <w:tabs>
                <w:tab w:val="decimal" w:pos="-22263"/>
                <w:tab w:val="decimal" w:pos="-6132"/>
              </w:tabs>
              <w:autoSpaceDE w:val="0"/>
              <w:autoSpaceDN w:val="0"/>
              <w:adjustRightInd w:val="0"/>
              <w:ind w:left="-55" w:right="6"/>
              <w:jc w:val="right"/>
            </w:pPr>
            <w:r>
              <w:t>3,945</w:t>
            </w:r>
          </w:p>
        </w:tc>
      </w:tr>
      <w:tr w:rsidR="00627874" w14:paraId="6D606CD9" w14:textId="77777777" w:rsidTr="004A552B">
        <w:tc>
          <w:tcPr>
            <w:tcW w:w="3927" w:type="dxa"/>
            <w:hideMark/>
          </w:tcPr>
          <w:p w14:paraId="5CA242E9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</w:pPr>
            <w:r>
              <w:t>8</w:t>
            </w:r>
            <w:r>
              <w:tab/>
            </w:r>
          </w:p>
        </w:tc>
        <w:tc>
          <w:tcPr>
            <w:tcW w:w="1503" w:type="dxa"/>
          </w:tcPr>
          <w:p w14:paraId="587A7828" w14:textId="7A044882" w:rsidR="00627874" w:rsidRDefault="00000733">
            <w:pPr>
              <w:widowControl w:val="0"/>
              <w:tabs>
                <w:tab w:val="decimal" w:pos="-5790"/>
              </w:tabs>
              <w:autoSpaceDE w:val="0"/>
              <w:autoSpaceDN w:val="0"/>
              <w:adjustRightInd w:val="0"/>
              <w:ind w:left="-55" w:right="6"/>
              <w:jc w:val="right"/>
            </w:pPr>
            <w:r>
              <w:t>4,394</w:t>
            </w:r>
          </w:p>
        </w:tc>
      </w:tr>
      <w:tr w:rsidR="00627874" w14:paraId="136524CF" w14:textId="77777777" w:rsidTr="004A552B">
        <w:tc>
          <w:tcPr>
            <w:tcW w:w="3927" w:type="dxa"/>
            <w:hideMark/>
          </w:tcPr>
          <w:p w14:paraId="273CA444" w14:textId="77777777" w:rsidR="00627874" w:rsidRDefault="00627874">
            <w:pPr>
              <w:widowControl w:val="0"/>
              <w:tabs>
                <w:tab w:val="right" w:leader="dot" w:pos="3819"/>
              </w:tabs>
              <w:autoSpaceDE w:val="0"/>
              <w:autoSpaceDN w:val="0"/>
              <w:adjustRightInd w:val="0"/>
              <w:ind w:right="-111"/>
            </w:pPr>
            <w:r>
              <w:t>Each additional member</w:t>
            </w:r>
            <w:r>
              <w:tab/>
            </w:r>
          </w:p>
        </w:tc>
        <w:tc>
          <w:tcPr>
            <w:tcW w:w="1503" w:type="dxa"/>
          </w:tcPr>
          <w:p w14:paraId="4826CBCC" w14:textId="115E9FB0" w:rsidR="00627874" w:rsidRDefault="00000733">
            <w:pPr>
              <w:widowControl w:val="0"/>
              <w:tabs>
                <w:tab w:val="decimal" w:pos="-5790"/>
              </w:tabs>
              <w:autoSpaceDE w:val="0"/>
              <w:autoSpaceDN w:val="0"/>
              <w:adjustRightInd w:val="0"/>
              <w:ind w:left="-55" w:right="6"/>
              <w:jc w:val="right"/>
            </w:pPr>
            <w:r>
              <w:t>449</w:t>
            </w:r>
          </w:p>
        </w:tc>
      </w:tr>
    </w:tbl>
    <w:p w14:paraId="2A41C88E" w14:textId="77777777" w:rsidR="00627874" w:rsidRDefault="00627874" w:rsidP="00627874">
      <w:pPr>
        <w:widowControl w:val="0"/>
        <w:autoSpaceDE w:val="0"/>
        <w:autoSpaceDN w:val="0"/>
        <w:adjustRightInd w:val="0"/>
      </w:pPr>
    </w:p>
    <w:p w14:paraId="38B7C1A2" w14:textId="77777777" w:rsidR="00627874" w:rsidRDefault="00627874" w:rsidP="00E447C1">
      <w:pPr>
        <w:widowControl w:val="0"/>
        <w:autoSpaceDE w:val="0"/>
        <w:autoSpaceDN w:val="0"/>
        <w:adjustRightInd w:val="0"/>
        <w:ind w:left="1440"/>
      </w:pPr>
      <w:r>
        <w:t xml:space="preserve">Derived from Office of Management and Budget non-farm income poverty guidelines. </w:t>
      </w:r>
    </w:p>
    <w:p w14:paraId="7C8C39B7" w14:textId="77777777" w:rsidR="00627874" w:rsidRDefault="00627874" w:rsidP="00E447C1"/>
    <w:p w14:paraId="2A8F27D4" w14:textId="25110A90" w:rsidR="00D12D89" w:rsidRDefault="00000733" w:rsidP="00EE33CC">
      <w:pPr>
        <w:ind w:firstLine="720"/>
      </w:pPr>
      <w:r w:rsidRPr="00524821">
        <w:t xml:space="preserve">(Source:  </w:t>
      </w:r>
      <w:r>
        <w:t>Peremptory a</w:t>
      </w:r>
      <w:r w:rsidRPr="00524821">
        <w:t>mend</w:t>
      </w:r>
      <w:r>
        <w:t>ment</w:t>
      </w:r>
      <w:r w:rsidRPr="00524821">
        <w:t xml:space="preserve"> at 4</w:t>
      </w:r>
      <w:r>
        <w:t>8</w:t>
      </w:r>
      <w:r w:rsidRPr="00524821">
        <w:t xml:space="preserve"> Ill. Reg. </w:t>
      </w:r>
      <w:r w:rsidR="00603136">
        <w:t>14986</w:t>
      </w:r>
      <w:r w:rsidRPr="00524821">
        <w:t xml:space="preserve">, effective </w:t>
      </w:r>
      <w:r w:rsidR="00873CC8">
        <w:t>October 1, 2024</w:t>
      </w:r>
      <w:r w:rsidRPr="00524821">
        <w:t>)</w:t>
      </w:r>
    </w:p>
    <w:sectPr w:rsidR="00D12D89" w:rsidSect="00DF593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443"/>
    <w:rsid w:val="00000733"/>
    <w:rsid w:val="000016F8"/>
    <w:rsid w:val="00003952"/>
    <w:rsid w:val="00020B1D"/>
    <w:rsid w:val="00077147"/>
    <w:rsid w:val="000837DF"/>
    <w:rsid w:val="000B1A07"/>
    <w:rsid w:val="000F1CD7"/>
    <w:rsid w:val="00100081"/>
    <w:rsid w:val="00110758"/>
    <w:rsid w:val="00147E28"/>
    <w:rsid w:val="001640A9"/>
    <w:rsid w:val="00166849"/>
    <w:rsid w:val="00171B49"/>
    <w:rsid w:val="001733C8"/>
    <w:rsid w:val="00177426"/>
    <w:rsid w:val="00187AAF"/>
    <w:rsid w:val="001A1742"/>
    <w:rsid w:val="001A2425"/>
    <w:rsid w:val="001B352A"/>
    <w:rsid w:val="001D363F"/>
    <w:rsid w:val="001D647C"/>
    <w:rsid w:val="001F4AA1"/>
    <w:rsid w:val="001F6A8E"/>
    <w:rsid w:val="00220443"/>
    <w:rsid w:val="0023667D"/>
    <w:rsid w:val="002442E0"/>
    <w:rsid w:val="00253C43"/>
    <w:rsid w:val="00294D00"/>
    <w:rsid w:val="002D3801"/>
    <w:rsid w:val="002E1A27"/>
    <w:rsid w:val="003154D8"/>
    <w:rsid w:val="00323FC0"/>
    <w:rsid w:val="00325F7A"/>
    <w:rsid w:val="003539D2"/>
    <w:rsid w:val="00397811"/>
    <w:rsid w:val="003A2FB2"/>
    <w:rsid w:val="003A77BA"/>
    <w:rsid w:val="003C01FE"/>
    <w:rsid w:val="003E24B8"/>
    <w:rsid w:val="004000D6"/>
    <w:rsid w:val="00411F97"/>
    <w:rsid w:val="00425F00"/>
    <w:rsid w:val="0045609F"/>
    <w:rsid w:val="004A552B"/>
    <w:rsid w:val="004D34C0"/>
    <w:rsid w:val="00532FFE"/>
    <w:rsid w:val="00552EC5"/>
    <w:rsid w:val="005703C1"/>
    <w:rsid w:val="00571C31"/>
    <w:rsid w:val="0058383C"/>
    <w:rsid w:val="00603136"/>
    <w:rsid w:val="00627874"/>
    <w:rsid w:val="0069059C"/>
    <w:rsid w:val="00696466"/>
    <w:rsid w:val="006B0693"/>
    <w:rsid w:val="006B4884"/>
    <w:rsid w:val="006D0C2C"/>
    <w:rsid w:val="00751332"/>
    <w:rsid w:val="007A1066"/>
    <w:rsid w:val="007A51AF"/>
    <w:rsid w:val="007B54F0"/>
    <w:rsid w:val="00826F78"/>
    <w:rsid w:val="00873CC8"/>
    <w:rsid w:val="00890B4C"/>
    <w:rsid w:val="008A5B7B"/>
    <w:rsid w:val="008D2736"/>
    <w:rsid w:val="00900CB5"/>
    <w:rsid w:val="00904673"/>
    <w:rsid w:val="0091080A"/>
    <w:rsid w:val="00911153"/>
    <w:rsid w:val="00930FAD"/>
    <w:rsid w:val="00954A9B"/>
    <w:rsid w:val="00966B53"/>
    <w:rsid w:val="00981924"/>
    <w:rsid w:val="00985F72"/>
    <w:rsid w:val="009A3ABF"/>
    <w:rsid w:val="009D24DC"/>
    <w:rsid w:val="009D5352"/>
    <w:rsid w:val="00A2591E"/>
    <w:rsid w:val="00A57ED7"/>
    <w:rsid w:val="00A8609B"/>
    <w:rsid w:val="00AA5B09"/>
    <w:rsid w:val="00AB6182"/>
    <w:rsid w:val="00AB6C6F"/>
    <w:rsid w:val="00AD06F5"/>
    <w:rsid w:val="00AD38C3"/>
    <w:rsid w:val="00B25C2A"/>
    <w:rsid w:val="00B4703A"/>
    <w:rsid w:val="00B67C5D"/>
    <w:rsid w:val="00BC7255"/>
    <w:rsid w:val="00C10E1E"/>
    <w:rsid w:val="00C251D4"/>
    <w:rsid w:val="00C42F2B"/>
    <w:rsid w:val="00C712D0"/>
    <w:rsid w:val="00CB17AA"/>
    <w:rsid w:val="00CC23B1"/>
    <w:rsid w:val="00CE2D82"/>
    <w:rsid w:val="00D12D89"/>
    <w:rsid w:val="00D2583A"/>
    <w:rsid w:val="00D26F13"/>
    <w:rsid w:val="00D66D56"/>
    <w:rsid w:val="00D76AAF"/>
    <w:rsid w:val="00D8759A"/>
    <w:rsid w:val="00DD59D1"/>
    <w:rsid w:val="00DE53CA"/>
    <w:rsid w:val="00DF293E"/>
    <w:rsid w:val="00DF593B"/>
    <w:rsid w:val="00E052C3"/>
    <w:rsid w:val="00E359BD"/>
    <w:rsid w:val="00E36F0D"/>
    <w:rsid w:val="00E447C1"/>
    <w:rsid w:val="00E537B4"/>
    <w:rsid w:val="00EA22E5"/>
    <w:rsid w:val="00EB546F"/>
    <w:rsid w:val="00ED560C"/>
    <w:rsid w:val="00EE33CC"/>
    <w:rsid w:val="00F25183"/>
    <w:rsid w:val="00F325C3"/>
    <w:rsid w:val="00F96100"/>
    <w:rsid w:val="00FB7886"/>
    <w:rsid w:val="00FC1C84"/>
    <w:rsid w:val="00FC4BF3"/>
    <w:rsid w:val="00FD2A97"/>
    <w:rsid w:val="00FD5DAA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35FD2E"/>
  <w15:docId w15:val="{C3F560B5-3303-4EEC-8EEF-614B9D03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593B"/>
  </w:style>
  <w:style w:type="paragraph" w:customStyle="1" w:styleId="JCARMainSourceNote">
    <w:name w:val="JCAR Main Source Note"/>
    <w:basedOn w:val="Normal"/>
    <w:rsid w:val="0029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General Assembly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SchnappMA</dc:creator>
  <cp:keywords/>
  <dc:description/>
  <cp:lastModifiedBy>Shipley, Melissa A.</cp:lastModifiedBy>
  <cp:revision>2</cp:revision>
  <dcterms:created xsi:type="dcterms:W3CDTF">2024-10-16T18:00:00Z</dcterms:created>
  <dcterms:modified xsi:type="dcterms:W3CDTF">2024-10-16T18:00:00Z</dcterms:modified>
</cp:coreProperties>
</file>