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E7" w:rsidRDefault="00AA7AE7" w:rsidP="00AA7AE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A7AE7" w:rsidRDefault="00AA7AE7" w:rsidP="00AA7AE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112.352  Child Care Eligibility (Repealed)</w:t>
      </w:r>
      <w:r>
        <w:t xml:space="preserve"> </w:t>
      </w:r>
    </w:p>
    <w:p w:rsidR="00AA7AE7" w:rsidRDefault="00AA7AE7" w:rsidP="00AA7AE7">
      <w:pPr>
        <w:widowControl w:val="0"/>
        <w:autoSpaceDE w:val="0"/>
        <w:autoSpaceDN w:val="0"/>
        <w:adjustRightInd w:val="0"/>
      </w:pPr>
    </w:p>
    <w:p w:rsidR="00AA7AE7" w:rsidRDefault="00AA7AE7" w:rsidP="00AA7AE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15597, effective November 26, 1997) </w:t>
      </w:r>
    </w:p>
    <w:sectPr w:rsidR="00AA7AE7" w:rsidSect="00AA7A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7AE7"/>
    <w:rsid w:val="005C3366"/>
    <w:rsid w:val="008F0C6C"/>
    <w:rsid w:val="00AA7AE7"/>
    <w:rsid w:val="00BB24D8"/>
    <w:rsid w:val="00DA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2012-06-21T20:52:00Z</dcterms:modified>
</cp:coreProperties>
</file>