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C7" w:rsidRDefault="00D957C7" w:rsidP="00D957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7C7" w:rsidRDefault="00D957C7" w:rsidP="00D957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3000.1105  Duty to Maintain Suitability</w:t>
      </w:r>
      <w:r>
        <w:t xml:space="preserve"> </w:t>
      </w:r>
    </w:p>
    <w:p w:rsidR="00D957C7" w:rsidRDefault="00D957C7" w:rsidP="00D957C7">
      <w:pPr>
        <w:widowControl w:val="0"/>
        <w:autoSpaceDE w:val="0"/>
        <w:autoSpaceDN w:val="0"/>
        <w:adjustRightInd w:val="0"/>
      </w:pPr>
    </w:p>
    <w:p w:rsidR="00D957C7" w:rsidRDefault="00D957C7" w:rsidP="00D957C7">
      <w:pPr>
        <w:widowControl w:val="0"/>
        <w:autoSpaceDE w:val="0"/>
        <w:autoSpaceDN w:val="0"/>
        <w:adjustRightInd w:val="0"/>
      </w:pPr>
      <w:r>
        <w:t xml:space="preserve">All Board licensees have a continuing duty to maintain suitability for licensure.  A Board license does not create a  property right, but is a revocable privilege granted by the State contingent upon continuing suitability for licensure. </w:t>
      </w:r>
    </w:p>
    <w:p w:rsidR="00D957C7" w:rsidRDefault="00D957C7" w:rsidP="00D957C7">
      <w:pPr>
        <w:widowControl w:val="0"/>
        <w:autoSpaceDE w:val="0"/>
        <w:autoSpaceDN w:val="0"/>
        <w:adjustRightInd w:val="0"/>
      </w:pPr>
    </w:p>
    <w:p w:rsidR="00D957C7" w:rsidRDefault="00D957C7" w:rsidP="00D957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11510, effective July 9, 1993) </w:t>
      </w:r>
    </w:p>
    <w:sectPr w:rsidR="00D957C7" w:rsidSect="00D95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7C7"/>
    <w:rsid w:val="00262020"/>
    <w:rsid w:val="00584687"/>
    <w:rsid w:val="005C3366"/>
    <w:rsid w:val="00B8065E"/>
    <w:rsid w:val="00D9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