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5DB" w:rsidRDefault="008165DB" w:rsidP="008165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65DB" w:rsidRDefault="008165DB" w:rsidP="008165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3000.1100  Coverage of Subpart</w:t>
      </w:r>
      <w:r>
        <w:t xml:space="preserve"> </w:t>
      </w:r>
    </w:p>
    <w:p w:rsidR="008165DB" w:rsidRDefault="008165DB" w:rsidP="008165DB">
      <w:pPr>
        <w:widowControl w:val="0"/>
        <w:autoSpaceDE w:val="0"/>
        <w:autoSpaceDN w:val="0"/>
        <w:adjustRightInd w:val="0"/>
      </w:pPr>
    </w:p>
    <w:p w:rsidR="008165DB" w:rsidRDefault="008165DB" w:rsidP="008165DB">
      <w:pPr>
        <w:widowControl w:val="0"/>
        <w:autoSpaceDE w:val="0"/>
        <w:autoSpaceDN w:val="0"/>
        <w:adjustRightInd w:val="0"/>
      </w:pPr>
      <w:r>
        <w:t xml:space="preserve">The rules contained in this Subpart shall govern all proceedings against a licensee. </w:t>
      </w:r>
    </w:p>
    <w:p w:rsidR="008165DB" w:rsidRDefault="008165DB" w:rsidP="008165DB">
      <w:pPr>
        <w:widowControl w:val="0"/>
        <w:autoSpaceDE w:val="0"/>
        <w:autoSpaceDN w:val="0"/>
        <w:adjustRightInd w:val="0"/>
      </w:pPr>
    </w:p>
    <w:p w:rsidR="008165DB" w:rsidRDefault="008165DB" w:rsidP="008165D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11510, effective July 9, 1993) </w:t>
      </w:r>
    </w:p>
    <w:sectPr w:rsidR="008165DB" w:rsidSect="008165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65DB"/>
    <w:rsid w:val="005C3366"/>
    <w:rsid w:val="00623A8A"/>
    <w:rsid w:val="008165DB"/>
    <w:rsid w:val="008C1E1C"/>
    <w:rsid w:val="00A8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