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DB" w:rsidRDefault="00E648DB" w:rsidP="00E648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8DB" w:rsidRDefault="00E648DB" w:rsidP="00E648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3000.616  Cashing-In</w:t>
      </w:r>
      <w:r>
        <w:t xml:space="preserve"> </w:t>
      </w:r>
    </w:p>
    <w:p w:rsidR="00E648DB" w:rsidRDefault="00E648DB" w:rsidP="00E648DB">
      <w:pPr>
        <w:widowControl w:val="0"/>
        <w:autoSpaceDE w:val="0"/>
        <w:autoSpaceDN w:val="0"/>
        <w:adjustRightInd w:val="0"/>
      </w:pPr>
    </w:p>
    <w:p w:rsidR="00E648DB" w:rsidRDefault="00E648DB" w:rsidP="00E648DB">
      <w:pPr>
        <w:widowControl w:val="0"/>
        <w:autoSpaceDE w:val="0"/>
        <w:autoSpaceDN w:val="0"/>
        <w:adjustRightInd w:val="0"/>
      </w:pPr>
      <w:r>
        <w:t xml:space="preserve">A holder of an Owner's License shall comply with all federal and State regulations for the withholding of taxes from winnings and/or the filing of Currency Transaction Reports.  The patron shall produce an identification card confirming information required by these forms, prior to the disbursement of winnings. </w:t>
      </w:r>
    </w:p>
    <w:p w:rsidR="00E648DB" w:rsidRDefault="00E648DB" w:rsidP="00E648DB">
      <w:pPr>
        <w:widowControl w:val="0"/>
        <w:autoSpaceDE w:val="0"/>
        <w:autoSpaceDN w:val="0"/>
        <w:adjustRightInd w:val="0"/>
      </w:pPr>
    </w:p>
    <w:p w:rsidR="00E648DB" w:rsidRDefault="00E648DB" w:rsidP="00E648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5814, effective April 9, 1996) </w:t>
      </w:r>
    </w:p>
    <w:sectPr w:rsidR="00E648DB" w:rsidSect="00E648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8DB"/>
    <w:rsid w:val="005C3366"/>
    <w:rsid w:val="00646DB2"/>
    <w:rsid w:val="00E648DB"/>
    <w:rsid w:val="00E66868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