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2F5" w:rsidRDefault="005A32F5" w:rsidP="005A32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32F5" w:rsidRDefault="005A32F5" w:rsidP="005A32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3000.283  Analysis of Questioned Electronic Gaming Devices (Repealed)</w:t>
      </w:r>
      <w:r>
        <w:t xml:space="preserve"> </w:t>
      </w:r>
    </w:p>
    <w:p w:rsidR="005A32F5" w:rsidRDefault="005A32F5" w:rsidP="005A32F5">
      <w:pPr>
        <w:widowControl w:val="0"/>
        <w:autoSpaceDE w:val="0"/>
        <w:autoSpaceDN w:val="0"/>
        <w:adjustRightInd w:val="0"/>
      </w:pPr>
    </w:p>
    <w:p w:rsidR="005A32F5" w:rsidRDefault="005A32F5" w:rsidP="005A32F5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21 Ill. Reg. 4642, effective April 1, 1997) </w:t>
      </w:r>
    </w:p>
    <w:sectPr w:rsidR="005A32F5" w:rsidSect="005A32F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32F5"/>
    <w:rsid w:val="00162CB7"/>
    <w:rsid w:val="00275C96"/>
    <w:rsid w:val="005A32F5"/>
    <w:rsid w:val="00AB5A33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MessingerRR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2012-06-21T20:40:00Z</dcterms:modified>
</cp:coreProperties>
</file>