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055" w:rsidRDefault="00052055" w:rsidP="00052055">
      <w:pPr>
        <w:widowControl w:val="0"/>
        <w:autoSpaceDE w:val="0"/>
        <w:autoSpaceDN w:val="0"/>
        <w:adjustRightInd w:val="0"/>
      </w:pPr>
      <w:bookmarkStart w:id="0" w:name="_GoBack"/>
      <w:bookmarkEnd w:id="0"/>
    </w:p>
    <w:p w:rsidR="00052055" w:rsidRDefault="00052055" w:rsidP="00052055">
      <w:pPr>
        <w:widowControl w:val="0"/>
        <w:autoSpaceDE w:val="0"/>
        <w:autoSpaceDN w:val="0"/>
        <w:adjustRightInd w:val="0"/>
      </w:pPr>
      <w:r>
        <w:rPr>
          <w:b/>
          <w:bCs/>
        </w:rPr>
        <w:t>Section 3000.271  Analysis of Questioned Electronic Gaming Devices</w:t>
      </w:r>
      <w:r>
        <w:t xml:space="preserve"> </w:t>
      </w:r>
    </w:p>
    <w:p w:rsidR="00052055" w:rsidRDefault="00052055" w:rsidP="00052055">
      <w:pPr>
        <w:widowControl w:val="0"/>
        <w:autoSpaceDE w:val="0"/>
        <w:autoSpaceDN w:val="0"/>
        <w:adjustRightInd w:val="0"/>
      </w:pPr>
    </w:p>
    <w:p w:rsidR="00052055" w:rsidRDefault="00052055" w:rsidP="00052055">
      <w:pPr>
        <w:widowControl w:val="0"/>
        <w:autoSpaceDE w:val="0"/>
        <w:autoSpaceDN w:val="0"/>
        <w:adjustRightInd w:val="0"/>
        <w:ind w:left="1440" w:hanging="720"/>
      </w:pPr>
      <w:r>
        <w:t>a)</w:t>
      </w:r>
      <w:r>
        <w:tab/>
        <w:t xml:space="preserve">If the operation of any Electronic Gaming Device is questioned by a Board agent, the questioned device will be examined in the presence of a Board agent and a representative of the owner licensee.  If a malfunction or the cause of a malfunction cannot be cleared or corrected, the Electronic Gaming Device shall be subjected to an EPROM analysis to verify the EPROM's Signature validity. If the Electronic Gaming Device utilizes Non-Alterable Storage Media, the approved protocol will be utilized to verify the validity of the gaming program files. </w:t>
      </w:r>
    </w:p>
    <w:p w:rsidR="00E94943" w:rsidRDefault="00E94943" w:rsidP="00052055">
      <w:pPr>
        <w:widowControl w:val="0"/>
        <w:autoSpaceDE w:val="0"/>
        <w:autoSpaceDN w:val="0"/>
        <w:adjustRightInd w:val="0"/>
        <w:ind w:left="1440" w:hanging="720"/>
      </w:pPr>
    </w:p>
    <w:p w:rsidR="00052055" w:rsidRDefault="00052055" w:rsidP="00052055">
      <w:pPr>
        <w:widowControl w:val="0"/>
        <w:autoSpaceDE w:val="0"/>
        <w:autoSpaceDN w:val="0"/>
        <w:adjustRightInd w:val="0"/>
        <w:ind w:left="1440" w:hanging="720"/>
      </w:pPr>
      <w:r>
        <w:t>b)</w:t>
      </w:r>
      <w:r>
        <w:tab/>
        <w:t xml:space="preserve">In the event that a malfunction cannot be cleared or corrected following the analysis under subsection (a), the Electronic Gaming Device may be removed from service and secured.  The Electronic Gaming Device may then be transported to an industry-recognized laboratory selected by the Administrator where the device will be fully analyzed to determine the status and cause of the malfunction.  All costs for transportation and analysis will be borne by the owner licensee, and will be billed by the laboratory to the owner licensee and, only if necessary, to the Board. </w:t>
      </w:r>
    </w:p>
    <w:p w:rsidR="00052055" w:rsidRDefault="00052055" w:rsidP="00052055">
      <w:pPr>
        <w:widowControl w:val="0"/>
        <w:autoSpaceDE w:val="0"/>
        <w:autoSpaceDN w:val="0"/>
        <w:adjustRightInd w:val="0"/>
        <w:ind w:left="1440" w:hanging="720"/>
      </w:pPr>
    </w:p>
    <w:p w:rsidR="00052055" w:rsidRDefault="00052055" w:rsidP="00052055">
      <w:pPr>
        <w:widowControl w:val="0"/>
        <w:autoSpaceDE w:val="0"/>
        <w:autoSpaceDN w:val="0"/>
        <w:adjustRightInd w:val="0"/>
        <w:ind w:left="1440" w:hanging="720"/>
      </w:pPr>
      <w:r>
        <w:t xml:space="preserve">(Source:  Amended at 25 Ill. Reg. 13292, effective October 5, 2001) </w:t>
      </w:r>
    </w:p>
    <w:sectPr w:rsidR="00052055" w:rsidSect="000520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055"/>
    <w:rsid w:val="00052055"/>
    <w:rsid w:val="00167788"/>
    <w:rsid w:val="005C3366"/>
    <w:rsid w:val="009E1BA2"/>
    <w:rsid w:val="00A01CE7"/>
    <w:rsid w:val="00E9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