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E0" w:rsidRDefault="006B7DE0" w:rsidP="006B7DE0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3000.200  Classification of Licenses</w:t>
      </w:r>
      <w:r>
        <w:t xml:space="preserve"> </w:t>
      </w:r>
    </w:p>
    <w:p w:rsidR="006B7DE0" w:rsidRDefault="006B7DE0" w:rsidP="006B7DE0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</w:pPr>
      <w:r>
        <w:t xml:space="preserve">The Board may classify an activity to be licensed in addition to, different from, or at a different level than the classifications set forth in this Subpart. </w:t>
      </w:r>
    </w:p>
    <w:p w:rsidR="008E3B5B" w:rsidRDefault="008E3B5B" w:rsidP="006B7DE0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B4AF7">
        <w:t>Owners L</w:t>
      </w:r>
      <w:r w:rsidR="00E701FF">
        <w:t>icense</w:t>
      </w:r>
      <w:r>
        <w:t xml:space="preserve">.  An owner of a  Gaming Operation is required to hold an </w:t>
      </w:r>
      <w:r w:rsidR="001B4AF7">
        <w:t>owners</w:t>
      </w:r>
      <w:r>
        <w:t xml:space="preserve"> license.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B4AF7">
        <w:t>Suppliers L</w:t>
      </w:r>
      <w:r w:rsidR="00E701FF">
        <w:t>icense</w:t>
      </w:r>
      <w:r>
        <w:t xml:space="preserve">.  The following persons or entities are required to hold a </w:t>
      </w:r>
      <w:r w:rsidR="00E701FF">
        <w:t>suppliers</w:t>
      </w:r>
      <w:r>
        <w:t xml:space="preserve"> </w:t>
      </w:r>
      <w:r w:rsidR="009F3C1E">
        <w:t>license</w:t>
      </w:r>
      <w:r>
        <w:t xml:space="preserve">: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6B7DE0">
        <w:t>)</w:t>
      </w:r>
      <w:r w:rsidR="006B7DE0">
        <w:tab/>
        <w:t>Supplier of Gaming Equipment/Supplies, including a manufacturer, distributor, wholesaler, or retailer.  All manufacturers of Electronic Gaming Devices, Chips,  Tokens</w:t>
      </w:r>
      <w:r w:rsidR="00140EAC">
        <w:t>, Voucher Systems, Voucher Validation Terminals, Voucher Printers, and Computer Monitoring Systems</w:t>
      </w:r>
      <w:r w:rsidR="006B7DE0">
        <w:t xml:space="preserve"> must be licensed as a Supplier regardless of whether the manufacturer uses an independent distributor or wholesaler to distribute its Equipment/Supplies.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B7DE0">
        <w:t>)</w:t>
      </w:r>
      <w:r w:rsidR="006B7DE0">
        <w:tab/>
        <w:t xml:space="preserve">Supplier of Gaming Equipment maintenance or repair services.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B7DE0">
        <w:t>)</w:t>
      </w:r>
      <w:r w:rsidR="006B7DE0">
        <w:tab/>
        <w:t xml:space="preserve">Supplier of security services.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6B7DE0">
        <w:t>)</w:t>
      </w:r>
      <w:r w:rsidR="006B7DE0">
        <w:tab/>
        <w:t xml:space="preserve">Lessors of Riverboat and/or dock facilities.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6B7DE0">
        <w:t>)</w:t>
      </w:r>
      <w:r w:rsidR="006B7DE0">
        <w:tab/>
        <w:t xml:space="preserve">Junketeers.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403BDC" w:rsidP="006B7DE0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6B7DE0">
        <w:t>)</w:t>
      </w:r>
      <w:r w:rsidR="006B7DE0">
        <w:tab/>
        <w:t xml:space="preserve">Any other purveyor of goods or services to a Gaming Operation, as deemed necessary by the Board.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701FF">
        <w:t>Occupational</w:t>
      </w:r>
      <w:r w:rsidR="00A90E86">
        <w:t xml:space="preserve"> </w:t>
      </w:r>
      <w:r w:rsidR="001B4AF7">
        <w:t>L</w:t>
      </w:r>
      <w:r w:rsidR="00A90E86">
        <w:t>icense</w:t>
      </w:r>
      <w:r>
        <w:t>.  A person employed at a Gaming Operation</w:t>
      </w:r>
      <w:r w:rsidR="00403BDC">
        <w:t xml:space="preserve"> </w:t>
      </w:r>
      <w:r>
        <w:t xml:space="preserve">is required to hold an </w:t>
      </w:r>
      <w:r w:rsidR="00E701FF">
        <w:t>occupational</w:t>
      </w:r>
      <w:r>
        <w:t xml:space="preserve"> </w:t>
      </w:r>
      <w:r w:rsidR="009F3C1E">
        <w:t>license</w:t>
      </w:r>
      <w:r>
        <w:t xml:space="preserve">.  An </w:t>
      </w:r>
      <w:r w:rsidR="00E701FF">
        <w:t>occupational</w:t>
      </w:r>
      <w:r>
        <w:t xml:space="preserve"> licensee may perform any activity included within the licensee's level of </w:t>
      </w:r>
      <w:r w:rsidR="00E701FF">
        <w:t>occupational</w:t>
      </w:r>
      <w:r>
        <w:t xml:space="preserve"> </w:t>
      </w:r>
      <w:r w:rsidR="009F3C1E">
        <w:t>license</w:t>
      </w:r>
      <w:r>
        <w:t xml:space="preserve"> or any lower level of </w:t>
      </w:r>
      <w:r w:rsidR="00E701FF">
        <w:t>occupational</w:t>
      </w:r>
      <w:r>
        <w:t xml:space="preserve"> </w:t>
      </w:r>
      <w:r w:rsidR="009F3C1E">
        <w:t>license</w:t>
      </w:r>
      <w:r>
        <w:t xml:space="preserve">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701FF">
        <w:t>Occupational</w:t>
      </w:r>
      <w:r>
        <w:t xml:space="preserve"> </w:t>
      </w:r>
      <w:r w:rsidR="007750FA">
        <w:t>license</w:t>
      </w:r>
      <w:r>
        <w:t xml:space="preserve">, Level 1, includes the following positions, or their equivalent: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Audit Manager;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Casino Manager;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Chief of Security;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Chief of Surveillance;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 xml:space="preserve">Chief Financial Officer and/or Controller;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EDP Manager;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Electronic Gaming Device Manager;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General Manager;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>Table Games Manager</w:t>
      </w:r>
      <w:r w:rsidR="009F3C1E">
        <w:t>; and</w:t>
      </w:r>
      <w:r>
        <w:t xml:space="preserve">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403BDC" w:rsidRPr="00403BDC" w:rsidRDefault="00403BDC" w:rsidP="00403BDC">
      <w:pPr>
        <w:ind w:left="2880" w:hanging="720"/>
      </w:pPr>
      <w:r w:rsidRPr="00403BDC">
        <w:t>J)</w:t>
      </w:r>
      <w:r>
        <w:tab/>
      </w:r>
      <w:r w:rsidRPr="00403BDC">
        <w:t>Any other individual who, upon review of the applicant</w:t>
      </w:r>
      <w:r>
        <w:t>'</w:t>
      </w:r>
      <w:r w:rsidRPr="00403BDC">
        <w:t>s or licensee</w:t>
      </w:r>
      <w:r>
        <w:t>'</w:t>
      </w:r>
      <w:r w:rsidRPr="00403BDC">
        <w:t>s Table of Organization, Ownership and Control submitted under Section 3000.223, the Board determines holds a position or a level of ownership, control or influence that is material to the regulatory concerns and obligation of the Board for the specified licensee or applicant.</w:t>
      </w:r>
    </w:p>
    <w:p w:rsidR="00403BDC" w:rsidRDefault="00403BDC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701FF">
        <w:t xml:space="preserve">Occupational </w:t>
      </w:r>
      <w:r w:rsidR="001B4AF7">
        <w:t>L</w:t>
      </w:r>
      <w:r w:rsidR="00E701FF">
        <w:t>icense</w:t>
      </w:r>
      <w:r>
        <w:t xml:space="preserve">, Level 2.  A Gaming or security/surveillance employee not required to hold an </w:t>
      </w:r>
      <w:r w:rsidR="00E701FF">
        <w:t>occupational</w:t>
      </w:r>
      <w:r>
        <w:t xml:space="preserve"> </w:t>
      </w:r>
      <w:r w:rsidR="009F3C1E">
        <w:t>license</w:t>
      </w:r>
      <w:r>
        <w:t xml:space="preserve">, Level 1 under subsection (c)(1). </w:t>
      </w:r>
    </w:p>
    <w:p w:rsidR="008E3B5B" w:rsidRDefault="008E3B5B" w:rsidP="00901815">
      <w:pPr>
        <w:widowControl w:val="0"/>
        <w:autoSpaceDE w:val="0"/>
        <w:autoSpaceDN w:val="0"/>
        <w:adjustRightInd w:val="0"/>
      </w:pPr>
    </w:p>
    <w:p w:rsidR="006B7DE0" w:rsidRDefault="006B7DE0" w:rsidP="006B7D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701FF">
        <w:t xml:space="preserve">Occupational </w:t>
      </w:r>
      <w:r w:rsidR="001B4AF7">
        <w:t>L</w:t>
      </w:r>
      <w:r w:rsidR="00E701FF">
        <w:t>icense</w:t>
      </w:r>
      <w:r>
        <w:t xml:space="preserve">, Level 3.  An employee not required to hold an </w:t>
      </w:r>
      <w:r w:rsidR="00E701FF">
        <w:t>occupational</w:t>
      </w:r>
      <w:r>
        <w:t xml:space="preserve"> </w:t>
      </w:r>
      <w:r w:rsidR="009F3C1E">
        <w:t>license</w:t>
      </w:r>
      <w:r>
        <w:t xml:space="preserve">, Level 1 or Level 2  under subsections (c)(1) and (c)(2). </w:t>
      </w:r>
    </w:p>
    <w:p w:rsidR="00A76363" w:rsidRDefault="00A76363" w:rsidP="00901815">
      <w:pPr>
        <w:widowControl w:val="0"/>
        <w:autoSpaceDE w:val="0"/>
        <w:autoSpaceDN w:val="0"/>
        <w:adjustRightInd w:val="0"/>
      </w:pPr>
    </w:p>
    <w:p w:rsidR="00A76363" w:rsidRDefault="00A76363" w:rsidP="00A763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Organization Gaming License.  An organization gaming license is a license authorizing gaming, issued under Section 7.7 of the Act, to a person or entity having operating control of a racetrack.  In addition to other requirements of this Part, organization gaming licensees are subject to the same duties and obligations as riverboat/casino owners licensees under Sections 3000.230, 3000.286, 3000.300, 3000.310 and 3000.840 and Section 7 of the Act.</w:t>
      </w:r>
    </w:p>
    <w:p w:rsidR="00140EAC" w:rsidRDefault="00140EAC" w:rsidP="00901815">
      <w:pPr>
        <w:pStyle w:val="JCARSourceNote"/>
      </w:pPr>
      <w:bookmarkStart w:id="0" w:name="_GoBack"/>
      <w:bookmarkEnd w:id="0"/>
    </w:p>
    <w:p w:rsidR="00403BDC" w:rsidRPr="00D55B37" w:rsidRDefault="00E701FF">
      <w:pPr>
        <w:pStyle w:val="JCARSourceNote"/>
        <w:ind w:left="720"/>
      </w:pPr>
      <w:r>
        <w:t xml:space="preserve">(Source:  Amended at 44 Ill. Reg. </w:t>
      </w:r>
      <w:r w:rsidR="00496BBB">
        <w:t>3224</w:t>
      </w:r>
      <w:r>
        <w:t xml:space="preserve">, effective </w:t>
      </w:r>
      <w:r w:rsidR="00496BBB">
        <w:t>February 4, 2020</w:t>
      </w:r>
      <w:r>
        <w:t>)</w:t>
      </w:r>
    </w:p>
    <w:sectPr w:rsidR="00403BDC" w:rsidRPr="00D55B37" w:rsidSect="006B7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DE0"/>
    <w:rsid w:val="00067F86"/>
    <w:rsid w:val="00100FB0"/>
    <w:rsid w:val="00140EAC"/>
    <w:rsid w:val="001B4AF7"/>
    <w:rsid w:val="002134FA"/>
    <w:rsid w:val="00403BDC"/>
    <w:rsid w:val="00496BBB"/>
    <w:rsid w:val="005C3366"/>
    <w:rsid w:val="005D6F84"/>
    <w:rsid w:val="006B7DE0"/>
    <w:rsid w:val="007750FA"/>
    <w:rsid w:val="0084492C"/>
    <w:rsid w:val="008917B2"/>
    <w:rsid w:val="008E3B5B"/>
    <w:rsid w:val="00901815"/>
    <w:rsid w:val="00931667"/>
    <w:rsid w:val="009F3C1E"/>
    <w:rsid w:val="00A76363"/>
    <w:rsid w:val="00A90E86"/>
    <w:rsid w:val="00BE021A"/>
    <w:rsid w:val="00C22758"/>
    <w:rsid w:val="00D56655"/>
    <w:rsid w:val="00E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3439D6-F617-41CA-9996-B8B29F0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Lane, Arlene L.</cp:lastModifiedBy>
  <cp:revision>4</cp:revision>
  <dcterms:created xsi:type="dcterms:W3CDTF">2020-01-15T19:07:00Z</dcterms:created>
  <dcterms:modified xsi:type="dcterms:W3CDTF">2020-02-19T15:30:00Z</dcterms:modified>
</cp:coreProperties>
</file>