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73CA1" w14:textId="77777777" w:rsidR="00AA25A6" w:rsidRPr="00E84798" w:rsidRDefault="00AA25A6" w:rsidP="00AA25A6">
      <w:pPr>
        <w:spacing w:after="0" w:line="240" w:lineRule="auto"/>
        <w:rPr>
          <w:rFonts w:ascii="Times New Roman" w:hAnsi="Times New Roman" w:cs="Times New Roman"/>
          <w:color w:val="000000"/>
          <w:sz w:val="24"/>
          <w:szCs w:val="24"/>
        </w:rPr>
      </w:pPr>
    </w:p>
    <w:p w14:paraId="02DD9A6C" w14:textId="77777777" w:rsidR="00AA25A6" w:rsidRDefault="00AA25A6" w:rsidP="00AA25A6">
      <w:pPr>
        <w:spacing w:after="0" w:line="240" w:lineRule="auto"/>
        <w:rPr>
          <w:rFonts w:ascii="Times New Roman" w:eastAsia="Times New Roman" w:hAnsi="Times New Roman" w:cs="Times New Roman"/>
          <w:b/>
          <w:bCs/>
          <w:sz w:val="24"/>
          <w:szCs w:val="24"/>
        </w:rPr>
      </w:pPr>
      <w:r w:rsidRPr="00E84798">
        <w:rPr>
          <w:rFonts w:ascii="Times New Roman" w:eastAsia="Times New Roman" w:hAnsi="Times New Roman" w:cs="Times New Roman"/>
          <w:b/>
          <w:bCs/>
          <w:sz w:val="24"/>
          <w:szCs w:val="24"/>
        </w:rPr>
        <w:t>Section 1050.200  Tax Credit Awards</w:t>
      </w:r>
    </w:p>
    <w:p w14:paraId="0A79E1FA" w14:textId="77777777" w:rsidR="00AA25A6" w:rsidRPr="00697B8A" w:rsidRDefault="00AA25A6" w:rsidP="00AA25A6">
      <w:pPr>
        <w:spacing w:after="0" w:line="240" w:lineRule="auto"/>
        <w:rPr>
          <w:rFonts w:ascii="Times New Roman" w:hAnsi="Times New Roman" w:cs="Times New Roman"/>
          <w:bCs/>
          <w:sz w:val="24"/>
          <w:szCs w:val="24"/>
        </w:rPr>
      </w:pPr>
    </w:p>
    <w:p w14:paraId="00DEE4E8" w14:textId="77777777" w:rsidR="00AA25A6" w:rsidRPr="004E3D31" w:rsidRDefault="00AA25A6" w:rsidP="00AA25A6">
      <w:pPr>
        <w:spacing w:after="0" w:line="240" w:lineRule="auto"/>
        <w:ind w:left="1440" w:hanging="720"/>
        <w:rPr>
          <w:rFonts w:ascii="Times New Roman" w:eastAsia="Calibri" w:hAnsi="Times New Roman" w:cs="Times New Roman"/>
          <w:i/>
          <w:iCs/>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a)</w:t>
      </w:r>
      <w:r>
        <w:rPr>
          <w:rFonts w:ascii="Times New Roman" w:eastAsia="Calibri" w:hAnsi="Times New Roman" w:cs="Times New Roman"/>
          <w:i/>
          <w:iCs/>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 xml:space="preserve">For taxable years ending on or after December 31, 2025 and ending before January 1, 2030, the Department shall award, in accordance with this Act, income tax credits to taxpayers who provide an endowment gift to a permanent endowment fund during the taxable year and receive a certificate of receipt under </w:t>
      </w:r>
      <w:r w:rsidRPr="004E3D31">
        <w:rPr>
          <w:rFonts w:ascii="Times New Roman" w:eastAsia="Calibri" w:hAnsi="Times New Roman" w:cs="Times New Roman"/>
          <w:color w:val="000000"/>
          <w:kern w:val="2"/>
          <w:sz w:val="24"/>
          <w:szCs w:val="24"/>
          <w:shd w:val="clear" w:color="auto" w:fill="FFFFFF"/>
          <w14:ligatures w14:val="standardContextual"/>
        </w:rPr>
        <w:t>Section 1050.350</w:t>
      </w:r>
      <w:r w:rsidRPr="004E3D31">
        <w:rPr>
          <w:rFonts w:ascii="Times New Roman" w:eastAsia="Calibri" w:hAnsi="Times New Roman" w:cs="Times New Roman"/>
          <w:i/>
          <w:iCs/>
          <w:color w:val="000000"/>
          <w:kern w:val="2"/>
          <w:sz w:val="24"/>
          <w:szCs w:val="24"/>
          <w:shd w:val="clear" w:color="auto" w:fill="FFFFFF"/>
          <w14:ligatures w14:val="standardContextual"/>
        </w:rPr>
        <w:t xml:space="preserve"> for that gift. Subject to the limitations in this Section, the amount of the credit that may be awarded to a taxpayer by the Department under this Act is an amount equal to 25% of the endowment gift.</w:t>
      </w:r>
    </w:p>
    <w:p w14:paraId="02003B6B" w14:textId="77777777" w:rsidR="00AA25A6" w:rsidRPr="004E3D31" w:rsidRDefault="00AA25A6" w:rsidP="00CC6045">
      <w:pPr>
        <w:spacing w:after="0" w:line="240" w:lineRule="auto"/>
        <w:rPr>
          <w:rFonts w:ascii="Times New Roman" w:eastAsia="Calibri" w:hAnsi="Times New Roman" w:cs="Times New Roman"/>
          <w:i/>
          <w:iCs/>
          <w:color w:val="000000"/>
          <w:kern w:val="2"/>
          <w:sz w:val="24"/>
          <w:szCs w:val="24"/>
          <w:shd w:val="clear" w:color="auto" w:fill="FFFFFF"/>
          <w14:ligatures w14:val="standardContextual"/>
        </w:rPr>
      </w:pPr>
    </w:p>
    <w:p w14:paraId="5DF4235B" w14:textId="77777777" w:rsidR="00AA25A6" w:rsidRPr="004E3D31" w:rsidRDefault="00AA25A6" w:rsidP="00AA25A6">
      <w:pPr>
        <w:spacing w:after="0" w:line="240" w:lineRule="auto"/>
        <w:ind w:left="1440" w:hanging="720"/>
        <w:rPr>
          <w:rFonts w:ascii="Times New Roman" w:eastAsia="Calibri" w:hAnsi="Times New Roman" w:cs="Times New Roman"/>
          <w:i/>
          <w:iCs/>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b)</w:t>
      </w:r>
      <w:r>
        <w:rPr>
          <w:rFonts w:ascii="Times New Roman" w:eastAsia="Calibri" w:hAnsi="Times New Roman" w:cs="Times New Roman"/>
          <w:i/>
          <w:iCs/>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The aggregate amount of all Illinois Gives tax credits awarded by the Department under this Act in any calendar year may not exceed $5,000,000.</w:t>
      </w:r>
    </w:p>
    <w:p w14:paraId="79FD544A" w14:textId="77777777" w:rsidR="00AA25A6" w:rsidRPr="004E3D31" w:rsidRDefault="00AA25A6" w:rsidP="00CC6045">
      <w:pPr>
        <w:spacing w:after="0" w:line="240" w:lineRule="auto"/>
        <w:rPr>
          <w:rFonts w:ascii="Times New Roman" w:eastAsia="Calibri" w:hAnsi="Times New Roman" w:cs="Times New Roman"/>
          <w:i/>
          <w:iCs/>
          <w:color w:val="000000"/>
          <w:kern w:val="2"/>
          <w:sz w:val="24"/>
          <w:szCs w:val="24"/>
          <w14:ligatures w14:val="standardContextual"/>
        </w:rPr>
      </w:pPr>
    </w:p>
    <w:p w14:paraId="06979552" w14:textId="77777777" w:rsidR="00AA25A6" w:rsidRPr="004E3D31" w:rsidRDefault="00AA25A6" w:rsidP="00AA25A6">
      <w:pPr>
        <w:spacing w:after="0" w:line="240" w:lineRule="auto"/>
        <w:ind w:left="1440" w:hanging="720"/>
        <w:rPr>
          <w:rFonts w:ascii="Times New Roman" w:eastAsia="Calibri" w:hAnsi="Times New Roman" w:cs="Times New Roman"/>
          <w:i/>
          <w:iCs/>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c)</w:t>
      </w:r>
      <w:r>
        <w:rPr>
          <w:rFonts w:ascii="Times New Roman" w:eastAsia="Calibri" w:hAnsi="Times New Roman" w:cs="Times New Roman"/>
          <w:i/>
          <w:iCs/>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The aggregate amount of all Illinois Gives tax credits that the Department may award to any taxpayer under this Act in any calendar year may not exceed $100,000.</w:t>
      </w:r>
      <w:r w:rsidRPr="004E3D31">
        <w:rPr>
          <w:rFonts w:ascii="Times New Roman" w:eastAsia="Calibri" w:hAnsi="Times New Roman" w:cs="Times New Roman"/>
          <w:color w:val="000000"/>
          <w:kern w:val="2"/>
          <w:sz w:val="24"/>
          <w:szCs w:val="24"/>
          <w:shd w:val="clear" w:color="auto" w:fill="FFFFFF"/>
          <w14:ligatures w14:val="standardContextual"/>
        </w:rPr>
        <w:t xml:space="preserve"> Taxpayers filing a joint return may each receive a credit of up to $100,000. Corporations filing a combined return may not be awarded more than $100,000 in credits in the aggregate.</w:t>
      </w:r>
    </w:p>
    <w:p w14:paraId="004816C7" w14:textId="77777777" w:rsidR="00AA25A6" w:rsidRPr="004E3D31" w:rsidRDefault="00AA25A6" w:rsidP="00CC6045">
      <w:pPr>
        <w:spacing w:after="0" w:line="240" w:lineRule="auto"/>
        <w:rPr>
          <w:rFonts w:ascii="Times New Roman" w:eastAsia="Calibri" w:hAnsi="Times New Roman" w:cs="Times New Roman"/>
          <w:i/>
          <w:iCs/>
          <w:color w:val="000000"/>
          <w:kern w:val="2"/>
          <w:sz w:val="24"/>
          <w:szCs w:val="24"/>
          <w14:ligatures w14:val="standardContextual"/>
        </w:rPr>
      </w:pPr>
    </w:p>
    <w:p w14:paraId="689E754E" w14:textId="77777777" w:rsidR="00AA25A6" w:rsidRPr="004E3D31" w:rsidRDefault="00AA25A6" w:rsidP="00AA25A6">
      <w:pPr>
        <w:spacing w:after="0" w:line="240" w:lineRule="auto"/>
        <w:ind w:left="1440" w:hanging="720"/>
        <w:rPr>
          <w:rFonts w:ascii="Times New Roman" w:eastAsia="Calibri" w:hAnsi="Times New Roman" w:cs="Times New Roman"/>
          <w:i/>
          <w:iCs/>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d)</w:t>
      </w:r>
      <w:r>
        <w:rPr>
          <w:rFonts w:ascii="Times New Roman" w:eastAsia="Calibri" w:hAnsi="Times New Roman" w:cs="Times New Roman"/>
          <w:i/>
          <w:iCs/>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The amount of contributions to any specific qualified community foundation that are eligible for Illinois Gives tax credits under this Section in any calendar year shall not exceed $3,000,000.</w:t>
      </w:r>
    </w:p>
    <w:p w14:paraId="22072734" w14:textId="77777777" w:rsidR="00AA25A6" w:rsidRPr="004E3D31" w:rsidRDefault="00AA25A6" w:rsidP="00CC6045">
      <w:pPr>
        <w:spacing w:after="0" w:line="240" w:lineRule="auto"/>
        <w:rPr>
          <w:rFonts w:ascii="Times New Roman" w:eastAsia="Calibri" w:hAnsi="Times New Roman" w:cs="Times New Roman"/>
          <w:i/>
          <w:iCs/>
          <w:color w:val="000000"/>
          <w:kern w:val="2"/>
          <w:sz w:val="24"/>
          <w:szCs w:val="24"/>
          <w14:ligatures w14:val="standardContextual"/>
        </w:rPr>
      </w:pPr>
    </w:p>
    <w:p w14:paraId="0777AD0B" w14:textId="77777777" w:rsidR="00AA25A6" w:rsidRPr="004E3D31" w:rsidRDefault="00AA25A6" w:rsidP="00AA25A6">
      <w:pPr>
        <w:spacing w:after="0" w:line="240" w:lineRule="auto"/>
        <w:ind w:left="1440" w:hanging="720"/>
        <w:rPr>
          <w:rFonts w:ascii="Times New Roman" w:eastAsia="Calibri" w:hAnsi="Times New Roman" w:cs="Times New Roman"/>
          <w:i/>
          <w:iCs/>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e)</w:t>
      </w:r>
      <w:r>
        <w:rPr>
          <w:rFonts w:ascii="Times New Roman" w:eastAsia="Calibri" w:hAnsi="Times New Roman" w:cs="Times New Roman"/>
          <w:i/>
          <w:iCs/>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 xml:space="preserve">Of the annual amount available for tax credits, 25% must be reserved for endowment gifts that do not exceed the small gift maximum set forth in this subsection. The small gift maximum is $25,000. For purposes of determining if a donation meets the small gift maximum, the amount of the </w:t>
      </w:r>
      <w:r w:rsidRPr="004E3D31">
        <w:rPr>
          <w:rFonts w:ascii="Times New Roman" w:eastAsia="Calibri" w:hAnsi="Times New Roman" w:cs="Times New Roman"/>
          <w:color w:val="000000"/>
          <w:kern w:val="2"/>
          <w:sz w:val="24"/>
          <w:szCs w:val="24"/>
          <w:shd w:val="clear" w:color="auto" w:fill="FFFFFF"/>
          <w14:ligatures w14:val="standardContextual"/>
        </w:rPr>
        <w:t>contribution</w:t>
      </w:r>
      <w:r w:rsidRPr="004E3D31">
        <w:rPr>
          <w:rFonts w:ascii="Times New Roman" w:eastAsia="Calibri" w:hAnsi="Times New Roman" w:cs="Times New Roman"/>
          <w:i/>
          <w:iCs/>
          <w:color w:val="000000"/>
          <w:kern w:val="2"/>
          <w:sz w:val="24"/>
          <w:szCs w:val="24"/>
          <w:shd w:val="clear" w:color="auto" w:fill="FFFFFF"/>
          <w14:ligatures w14:val="standardContextual"/>
        </w:rPr>
        <w:t xml:space="preserve"> authorization certificate under </w:t>
      </w:r>
      <w:r w:rsidRPr="004E3D31">
        <w:rPr>
          <w:rFonts w:ascii="Times New Roman" w:eastAsia="Calibri" w:hAnsi="Times New Roman" w:cs="Times New Roman"/>
          <w:color w:val="000000"/>
          <w:kern w:val="2"/>
          <w:sz w:val="24"/>
          <w:szCs w:val="24"/>
          <w:shd w:val="clear" w:color="auto" w:fill="FFFFFF"/>
          <w14:ligatures w14:val="standardContextual"/>
        </w:rPr>
        <w:t>Section 250</w:t>
      </w:r>
      <w:r w:rsidRPr="004E3D31">
        <w:rPr>
          <w:rFonts w:ascii="Times New Roman" w:eastAsia="Calibri" w:hAnsi="Times New Roman" w:cs="Times New Roman"/>
          <w:i/>
          <w:iCs/>
          <w:color w:val="000000"/>
          <w:kern w:val="2"/>
          <w:sz w:val="24"/>
          <w:szCs w:val="24"/>
          <w:shd w:val="clear" w:color="auto" w:fill="FFFFFF"/>
          <w14:ligatures w14:val="standardContextual"/>
        </w:rPr>
        <w:t xml:space="preserve"> shall be used.</w:t>
      </w:r>
    </w:p>
    <w:p w14:paraId="1536267C" w14:textId="77777777" w:rsidR="00AA25A6" w:rsidRPr="004E3D31" w:rsidRDefault="00AA25A6" w:rsidP="00CC6045">
      <w:pPr>
        <w:spacing w:after="0" w:line="240" w:lineRule="auto"/>
        <w:rPr>
          <w:rFonts w:ascii="Times New Roman" w:eastAsia="Calibri" w:hAnsi="Times New Roman" w:cs="Times New Roman"/>
          <w:i/>
          <w:iCs/>
          <w:color w:val="000000"/>
          <w:kern w:val="2"/>
          <w:sz w:val="24"/>
          <w:szCs w:val="24"/>
          <w:shd w:val="clear" w:color="auto" w:fill="FFFFFF"/>
          <w14:ligatures w14:val="standardContextual"/>
        </w:rPr>
      </w:pPr>
    </w:p>
    <w:p w14:paraId="596F3252" w14:textId="77777777" w:rsidR="00AA25A6" w:rsidRPr="004E3D31" w:rsidRDefault="00AA25A6" w:rsidP="00AA25A6">
      <w:pPr>
        <w:spacing w:after="0" w:line="240" w:lineRule="auto"/>
        <w:ind w:left="1440" w:hanging="720"/>
        <w:rPr>
          <w:rFonts w:ascii="Times New Roman" w:eastAsia="Calibri" w:hAnsi="Times New Roman" w:cs="Times New Roman"/>
          <w:color w:val="000000"/>
          <w:kern w:val="2"/>
          <w:sz w:val="24"/>
          <w:szCs w:val="24"/>
          <w:shd w:val="clear" w:color="auto" w:fill="FFFFFF"/>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f)</w:t>
      </w:r>
      <w:r>
        <w:rPr>
          <w:rFonts w:ascii="Times New Roman" w:eastAsia="Calibri" w:hAnsi="Times New Roman" w:cs="Times New Roman"/>
          <w:i/>
          <w:iCs/>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 xml:space="preserve">For the purpose of this Section, a credit is considered to be awarded on the date the Department issues an approved contribution authorization certificate under </w:t>
      </w:r>
      <w:r w:rsidRPr="004E3D31">
        <w:rPr>
          <w:rFonts w:ascii="Times New Roman" w:eastAsia="Calibri" w:hAnsi="Times New Roman" w:cs="Times New Roman"/>
          <w:color w:val="000000"/>
          <w:kern w:val="2"/>
          <w:sz w:val="24"/>
          <w:szCs w:val="24"/>
          <w:shd w:val="clear" w:color="auto" w:fill="FFFFFF"/>
          <w14:ligatures w14:val="standardContextual"/>
        </w:rPr>
        <w:t xml:space="preserve">Section 250. [35 </w:t>
      </w:r>
      <w:proofErr w:type="spellStart"/>
      <w:r w:rsidRPr="004E3D31">
        <w:rPr>
          <w:rFonts w:ascii="Times New Roman" w:eastAsia="Calibri" w:hAnsi="Times New Roman" w:cs="Times New Roman"/>
          <w:color w:val="000000"/>
          <w:kern w:val="2"/>
          <w:sz w:val="24"/>
          <w:szCs w:val="24"/>
          <w:shd w:val="clear" w:color="auto" w:fill="FFFFFF"/>
          <w14:ligatures w14:val="standardContextual"/>
        </w:rPr>
        <w:t>ILCS</w:t>
      </w:r>
      <w:proofErr w:type="spellEnd"/>
      <w:r w:rsidRPr="004E3D31">
        <w:rPr>
          <w:rFonts w:ascii="Times New Roman" w:eastAsia="Calibri" w:hAnsi="Times New Roman" w:cs="Times New Roman"/>
          <w:color w:val="000000"/>
          <w:kern w:val="2"/>
          <w:sz w:val="24"/>
          <w:szCs w:val="24"/>
          <w:shd w:val="clear" w:color="auto" w:fill="FFFFFF"/>
          <w14:ligatures w14:val="standardContextual"/>
        </w:rPr>
        <w:t xml:space="preserve"> 60/170-100]</w:t>
      </w:r>
    </w:p>
    <w:sectPr w:rsidR="00AA25A6" w:rsidRPr="004E3D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B4BA" w14:textId="77777777" w:rsidR="00396B38" w:rsidRDefault="00396B38">
      <w:r>
        <w:separator/>
      </w:r>
    </w:p>
  </w:endnote>
  <w:endnote w:type="continuationSeparator" w:id="0">
    <w:p w14:paraId="1B1A4FC7" w14:textId="77777777" w:rsidR="00396B38" w:rsidRDefault="0039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B112" w14:textId="77777777" w:rsidR="00396B38" w:rsidRDefault="00396B38">
      <w:r>
        <w:separator/>
      </w:r>
    </w:p>
  </w:footnote>
  <w:footnote w:type="continuationSeparator" w:id="0">
    <w:p w14:paraId="0A8ECE7E" w14:textId="77777777" w:rsidR="00396B38" w:rsidRDefault="0039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3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6B38"/>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B8A"/>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4C36"/>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5A6"/>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045"/>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22A8B"/>
  <w15:chartTrackingRefBased/>
  <w15:docId w15:val="{0B5418B3-7E3E-4E81-9B9A-B4E21900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5A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303</Words>
  <Characters>1515</Characters>
  <Application>Microsoft Office Word</Application>
  <DocSecurity>0</DocSecurity>
  <Lines>12</Lines>
  <Paragraphs>3</Paragraphs>
  <ScaleCrop>false</ScaleCrop>
  <Company>Illinois General Assembly</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2025-01-27T15:43:00Z</dcterms:created>
  <dcterms:modified xsi:type="dcterms:W3CDTF">2025-06-09T12:56:00Z</dcterms:modified>
</cp:coreProperties>
</file>