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CB" w:rsidRDefault="00634BCB" w:rsidP="00634B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BCB" w:rsidRDefault="00634BCB" w:rsidP="00634B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800.1000  Introduction</w:t>
      </w:r>
      <w:r>
        <w:t xml:space="preserve"> </w:t>
      </w:r>
    </w:p>
    <w:p w:rsidR="00634BCB" w:rsidRDefault="00634BCB" w:rsidP="00634BCB">
      <w:pPr>
        <w:widowControl w:val="0"/>
        <w:autoSpaceDE w:val="0"/>
        <w:autoSpaceDN w:val="0"/>
        <w:adjustRightInd w:val="0"/>
      </w:pPr>
    </w:p>
    <w:p w:rsidR="00634BCB" w:rsidRDefault="00634BCB" w:rsidP="00634BCB">
      <w:pPr>
        <w:widowControl w:val="0"/>
        <w:autoSpaceDE w:val="0"/>
        <w:autoSpaceDN w:val="0"/>
        <w:adjustRightInd w:val="0"/>
      </w:pPr>
      <w:r>
        <w:t xml:space="preserve">There are a number of issues with respect to tax administration that are not related to any particular tax.  Many of those provisions are contained in 2 Ill. Adm. Code 1200.  However, there are a number of issues that apply generally to all taxes administered by the Illinois Department of Revenue (the "Department") that do not fall within the scope of Title 2 of the Illinois Administrative Code and, as a result, must be adopted in conformance with the normal rulemaking requirements of the Illinois Administrative Procedure Act (the "IAPA") [5 ILCS 100].  This Part codifies the rules of the Department that are not tax-specific. </w:t>
      </w:r>
    </w:p>
    <w:sectPr w:rsidR="00634BCB" w:rsidSect="00634B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BCB"/>
    <w:rsid w:val="002308C2"/>
    <w:rsid w:val="005C3366"/>
    <w:rsid w:val="00634BCB"/>
    <w:rsid w:val="00AB221F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