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50D9" w14:textId="77777777" w:rsidR="00F74CD6" w:rsidRDefault="00F74CD6" w:rsidP="00F74CD6">
      <w:pPr>
        <w:widowControl w:val="0"/>
        <w:autoSpaceDE w:val="0"/>
        <w:autoSpaceDN w:val="0"/>
        <w:adjustRightInd w:val="0"/>
      </w:pPr>
    </w:p>
    <w:p w14:paraId="51C377BD" w14:textId="77777777" w:rsidR="00F74CD6" w:rsidRDefault="00F74CD6" w:rsidP="00F74C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694.101  Nature of the Non-Home Rule Municipal Service Occupation Tax</w:t>
      </w:r>
      <w:r>
        <w:t xml:space="preserve"> </w:t>
      </w:r>
    </w:p>
    <w:p w14:paraId="52D55E82" w14:textId="77777777" w:rsidR="00F74CD6" w:rsidRDefault="00F74CD6" w:rsidP="00F74CD6">
      <w:pPr>
        <w:widowControl w:val="0"/>
        <w:autoSpaceDE w:val="0"/>
        <w:autoSpaceDN w:val="0"/>
        <w:adjustRightInd w:val="0"/>
      </w:pPr>
    </w:p>
    <w:p w14:paraId="5E977AB0" w14:textId="7F17EDBA" w:rsidR="00F74CD6" w:rsidRDefault="00F74CD6" w:rsidP="00F74C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Authority to Impose Tax </w:t>
      </w:r>
    </w:p>
    <w:p w14:paraId="5408037D" w14:textId="527AA342" w:rsidR="00CB0FDD" w:rsidRDefault="00CB0FDD" w:rsidP="00CA4743">
      <w:pPr>
        <w:widowControl w:val="0"/>
        <w:autoSpaceDE w:val="0"/>
        <w:autoSpaceDN w:val="0"/>
        <w:adjustRightInd w:val="0"/>
      </w:pPr>
    </w:p>
    <w:p w14:paraId="744AAD7E" w14:textId="1717616B" w:rsidR="00F74CD6" w:rsidRDefault="00CB0FDD" w:rsidP="00CB0FDD">
      <w:pPr>
        <w:widowControl w:val="0"/>
        <w:autoSpaceDE w:val="0"/>
        <w:autoSpaceDN w:val="0"/>
        <w:adjustRightInd w:val="0"/>
        <w:ind w:left="2160" w:hanging="720"/>
      </w:pPr>
      <w:r w:rsidRPr="00CD4701">
        <w:rPr>
          <w:color w:val="000000"/>
        </w:rPr>
        <w:t>1)</w:t>
      </w:r>
      <w:r>
        <w:rPr>
          <w:color w:val="000000"/>
        </w:rPr>
        <w:tab/>
      </w:r>
      <w:r w:rsidRPr="00CD4701">
        <w:rPr>
          <w:color w:val="000000"/>
        </w:rPr>
        <w:t xml:space="preserve">Pursuant to the Non-Home Rule Municipal Service Occupation Tax Act [65 ILCS 5/8-11-1.4], </w:t>
      </w:r>
      <w:r w:rsidRPr="00CD4701">
        <w:rPr>
          <w:i/>
          <w:iCs/>
          <w:color w:val="000000"/>
        </w:rPr>
        <w:t>the corporate authorities of a non-home rule municipality may impose</w:t>
      </w:r>
      <w:r w:rsidR="00AF7389">
        <w:rPr>
          <w:i/>
          <w:iCs/>
          <w:color w:val="000000"/>
        </w:rPr>
        <w:t>,</w:t>
      </w:r>
      <w:r w:rsidRPr="00CD4701">
        <w:rPr>
          <w:i/>
          <w:iCs/>
          <w:color w:val="000000"/>
        </w:rPr>
        <w:t xml:space="preserve"> </w:t>
      </w:r>
      <w:r w:rsidR="00E10135">
        <w:rPr>
          <w:i/>
          <w:iCs/>
          <w:color w:val="000000"/>
        </w:rPr>
        <w:t xml:space="preserve">by ordinance or resolution adopted in the manner described in Section 8-11-1.1, </w:t>
      </w:r>
      <w:r w:rsidRPr="00CD4701">
        <w:rPr>
          <w:i/>
          <w:iCs/>
          <w:color w:val="000000"/>
        </w:rPr>
        <w:t xml:space="preserve">a tax upon all persons engaged in </w:t>
      </w:r>
      <w:r w:rsidR="00E10135">
        <w:rPr>
          <w:i/>
          <w:iCs/>
          <w:color w:val="000000"/>
        </w:rPr>
        <w:t xml:space="preserve">the </w:t>
      </w:r>
      <w:r w:rsidRPr="00CD4701">
        <w:rPr>
          <w:i/>
          <w:iCs/>
          <w:color w:val="000000"/>
        </w:rPr>
        <w:t>municipality</w:t>
      </w:r>
      <w:r w:rsidR="00D94403">
        <w:rPr>
          <w:i/>
          <w:iCs/>
          <w:color w:val="000000"/>
        </w:rPr>
        <w:t xml:space="preserve"> in the business of making sales of service</w:t>
      </w:r>
      <w:r w:rsidR="00E10135">
        <w:rPr>
          <w:i/>
          <w:iCs/>
          <w:color w:val="000000"/>
        </w:rPr>
        <w:t>.  If imposed, the tax shall be imposed on the</w:t>
      </w:r>
      <w:r w:rsidR="00D94403">
        <w:rPr>
          <w:i/>
          <w:iCs/>
          <w:color w:val="000000"/>
        </w:rPr>
        <w:t xml:space="preserve"> selling price of all tangible personal property transferred by such servicemen, either in the form of tangible personal property or in the form of real estate, as an incident to a sale of service</w:t>
      </w:r>
      <w:r w:rsidR="00757310">
        <w:rPr>
          <w:i/>
          <w:iCs/>
          <w:color w:val="000000"/>
        </w:rPr>
        <w:t>.  The proceeds of the tax may be used</w:t>
      </w:r>
      <w:r w:rsidRPr="00CD4701">
        <w:rPr>
          <w:i/>
          <w:iCs/>
          <w:color w:val="000000"/>
        </w:rPr>
        <w:t xml:space="preserve"> for public infrastructure or for property tax relief or both</w:t>
      </w:r>
      <w:r w:rsidR="00757310">
        <w:rPr>
          <w:i/>
          <w:iCs/>
          <w:color w:val="000000"/>
        </w:rPr>
        <w:t>,</w:t>
      </w:r>
      <w:r w:rsidRPr="00CD4701">
        <w:rPr>
          <w:i/>
          <w:iCs/>
          <w:color w:val="000000"/>
        </w:rPr>
        <w:t xml:space="preserve"> as defined in Section 8-11-1.2</w:t>
      </w:r>
      <w:r w:rsidR="00757310">
        <w:rPr>
          <w:i/>
          <w:iCs/>
          <w:color w:val="000000"/>
        </w:rPr>
        <w:t>.</w:t>
      </w:r>
      <w:r w:rsidR="00F74CD6">
        <w:t xml:space="preserve"> </w:t>
      </w:r>
    </w:p>
    <w:p w14:paraId="6FEEA8C4" w14:textId="77777777" w:rsidR="00323707" w:rsidRDefault="00323707" w:rsidP="00CA4743">
      <w:pPr>
        <w:widowControl w:val="0"/>
        <w:autoSpaceDE w:val="0"/>
        <w:autoSpaceDN w:val="0"/>
        <w:adjustRightInd w:val="0"/>
      </w:pPr>
    </w:p>
    <w:p w14:paraId="4BABDBB5" w14:textId="6822788B" w:rsidR="00CB0FDD" w:rsidRDefault="00CB0FDD" w:rsidP="002F3E23">
      <w:pPr>
        <w:ind w:left="2160" w:hanging="720"/>
        <w:rPr>
          <w:i/>
          <w:iCs/>
          <w:color w:val="000000"/>
        </w:rPr>
      </w:pPr>
      <w:r w:rsidRPr="00CD4701">
        <w:rPr>
          <w:color w:val="000000"/>
        </w:rPr>
        <w:t>2)</w:t>
      </w:r>
      <w:r>
        <w:rPr>
          <w:color w:val="000000"/>
        </w:rPr>
        <w:tab/>
      </w:r>
      <w:r w:rsidRPr="00CD4701">
        <w:rPr>
          <w:i/>
          <w:iCs/>
          <w:color w:val="000000"/>
        </w:rPr>
        <w:t xml:space="preserve">The tax imposed may not be more than 1% and may be imposed only in ¼% increments. </w:t>
      </w:r>
    </w:p>
    <w:p w14:paraId="0D77668F" w14:textId="77777777" w:rsidR="002F3E23" w:rsidRPr="00CD4701" w:rsidRDefault="002F3E23" w:rsidP="00CA4743">
      <w:pPr>
        <w:rPr>
          <w:i/>
          <w:iCs/>
          <w:color w:val="000000"/>
        </w:rPr>
      </w:pPr>
    </w:p>
    <w:p w14:paraId="1B188FDD" w14:textId="0B8C8D82" w:rsidR="00CB0FDD" w:rsidRDefault="00CB0FDD" w:rsidP="002F3E23">
      <w:pPr>
        <w:ind w:left="2160" w:hanging="720"/>
        <w:rPr>
          <w:color w:val="000000"/>
        </w:rPr>
      </w:pPr>
      <w:r w:rsidRPr="00CD4701">
        <w:rPr>
          <w:color w:val="000000"/>
        </w:rPr>
        <w:t>3)</w:t>
      </w:r>
      <w:r>
        <w:rPr>
          <w:color w:val="000000"/>
        </w:rPr>
        <w:tab/>
      </w:r>
      <w:r w:rsidRPr="00CD4701">
        <w:rPr>
          <w:i/>
          <w:iCs/>
          <w:color w:val="000000"/>
        </w:rPr>
        <w:t>If the tax is approved by referendum on or after July 14, 2010,</w:t>
      </w:r>
      <w:r w:rsidRPr="00CD4701">
        <w:rPr>
          <w:color w:val="000000"/>
        </w:rPr>
        <w:t xml:space="preserve"> </w:t>
      </w:r>
      <w:r w:rsidRPr="00757310">
        <w:rPr>
          <w:i/>
          <w:iCs/>
          <w:color w:val="000000"/>
        </w:rPr>
        <w:t>and</w:t>
      </w:r>
      <w:r w:rsidRPr="00CD4701">
        <w:rPr>
          <w:color w:val="000000"/>
        </w:rPr>
        <w:t xml:space="preserve"> </w:t>
      </w:r>
      <w:r w:rsidR="00757310" w:rsidRPr="00757310">
        <w:rPr>
          <w:i/>
          <w:iCs/>
          <w:color w:val="000000"/>
        </w:rPr>
        <w:t>before</w:t>
      </w:r>
      <w:r w:rsidR="00757310">
        <w:rPr>
          <w:color w:val="000000"/>
        </w:rPr>
        <w:t xml:space="preserve"> </w:t>
      </w:r>
      <w:r w:rsidRPr="00757310">
        <w:rPr>
          <w:i/>
          <w:iCs/>
          <w:color w:val="000000"/>
        </w:rPr>
        <w:t>August 5, 2024,</w:t>
      </w:r>
      <w:r w:rsidRPr="00CD4701">
        <w:rPr>
          <w:i/>
          <w:iCs/>
          <w:color w:val="000000"/>
        </w:rPr>
        <w:t xml:space="preserve"> the corporate authorities of </w:t>
      </w:r>
      <w:r w:rsidR="00757310">
        <w:rPr>
          <w:i/>
          <w:iCs/>
          <w:color w:val="000000"/>
        </w:rPr>
        <w:t xml:space="preserve">the </w:t>
      </w:r>
      <w:r w:rsidRPr="00CD4701">
        <w:rPr>
          <w:i/>
          <w:iCs/>
          <w:color w:val="000000"/>
        </w:rPr>
        <w:t>non-home rule municipality may, until</w:t>
      </w:r>
      <w:r w:rsidR="00193056">
        <w:rPr>
          <w:i/>
          <w:iCs/>
          <w:color w:val="000000"/>
        </w:rPr>
        <w:t xml:space="preserve"> January 1, 2031</w:t>
      </w:r>
      <w:r w:rsidRPr="00CD4701">
        <w:rPr>
          <w:i/>
          <w:iCs/>
          <w:color w:val="000000"/>
        </w:rPr>
        <w:t>, use the proceeds of the tax for expenditure on municipal operations, in addition to or in lieu of any expenditure on public infrastructure or for property tax relief.</w:t>
      </w:r>
      <w:r w:rsidRPr="00CD4701">
        <w:rPr>
          <w:color w:val="000000"/>
        </w:rPr>
        <w:t xml:space="preserve">  </w:t>
      </w:r>
      <w:r w:rsidRPr="00D94403">
        <w:rPr>
          <w:i/>
          <w:iCs/>
          <w:color w:val="000000"/>
        </w:rPr>
        <w:t>If</w:t>
      </w:r>
      <w:r w:rsidRPr="00CD4701">
        <w:rPr>
          <w:color w:val="000000"/>
        </w:rPr>
        <w:t xml:space="preserve"> </w:t>
      </w:r>
      <w:r w:rsidRPr="00193056">
        <w:rPr>
          <w:i/>
          <w:iCs/>
          <w:color w:val="000000"/>
        </w:rPr>
        <w:t xml:space="preserve">the tax is approved by ordinance or resolution </w:t>
      </w:r>
      <w:r w:rsidR="00193056" w:rsidRPr="00193056">
        <w:rPr>
          <w:i/>
          <w:iCs/>
          <w:color w:val="000000"/>
        </w:rPr>
        <w:t xml:space="preserve">adopted </w:t>
      </w:r>
      <w:r w:rsidRPr="00193056">
        <w:rPr>
          <w:i/>
          <w:iCs/>
          <w:color w:val="000000"/>
        </w:rPr>
        <w:t xml:space="preserve">on or after August 5, 2024, the corporate authorities of </w:t>
      </w:r>
      <w:r w:rsidR="00193056" w:rsidRPr="00193056">
        <w:rPr>
          <w:i/>
          <w:iCs/>
          <w:color w:val="000000"/>
        </w:rPr>
        <w:t xml:space="preserve">the </w:t>
      </w:r>
      <w:r w:rsidRPr="00193056">
        <w:rPr>
          <w:i/>
          <w:iCs/>
          <w:color w:val="000000"/>
        </w:rPr>
        <w:t>non-home rule municipality, may until J</w:t>
      </w:r>
      <w:r w:rsidR="00193056" w:rsidRPr="00193056">
        <w:rPr>
          <w:i/>
          <w:iCs/>
          <w:color w:val="000000"/>
        </w:rPr>
        <w:t>anuary 1, 2031</w:t>
      </w:r>
      <w:r w:rsidRPr="00193056">
        <w:rPr>
          <w:i/>
          <w:iCs/>
          <w:color w:val="000000"/>
        </w:rPr>
        <w:t>, use the proceeds of the tax for expenditure on municipal operations, in addition to or in lieu of any expenditure on public infrastructure or for property tax relief.</w:t>
      </w:r>
      <w:r w:rsidR="00193056">
        <w:rPr>
          <w:color w:val="000000"/>
        </w:rPr>
        <w:t xml:space="preserve">  [65 ILCS 5/8-11-1.3]</w:t>
      </w:r>
    </w:p>
    <w:p w14:paraId="69105EBC" w14:textId="77777777" w:rsidR="002F3E23" w:rsidRPr="00CD4701" w:rsidRDefault="002F3E23" w:rsidP="00CA4743">
      <w:pPr>
        <w:rPr>
          <w:i/>
          <w:iCs/>
          <w:color w:val="000000"/>
        </w:rPr>
      </w:pPr>
    </w:p>
    <w:p w14:paraId="1853D459" w14:textId="70FAB34B" w:rsidR="00CB0FDD" w:rsidRDefault="00CB0FDD" w:rsidP="002F3E23">
      <w:pPr>
        <w:ind w:left="2160" w:hanging="720"/>
        <w:rPr>
          <w:color w:val="000000"/>
        </w:rPr>
      </w:pPr>
      <w:r w:rsidRPr="00CD4701">
        <w:rPr>
          <w:color w:val="000000"/>
        </w:rPr>
        <w:t>4)</w:t>
      </w:r>
      <w:r>
        <w:rPr>
          <w:color w:val="000000"/>
        </w:rPr>
        <w:tab/>
      </w:r>
      <w:r w:rsidRPr="00CD4701">
        <w:rPr>
          <w:i/>
          <w:iCs/>
          <w:color w:val="000000"/>
        </w:rPr>
        <w:t>The tax may not be imposed on tangible personal property taxed at the 1% rate under the Service Occupation Tax Act</w:t>
      </w:r>
      <w:r w:rsidRPr="00CD4701">
        <w:rPr>
          <w:color w:val="000000"/>
        </w:rPr>
        <w:t xml:space="preserve"> [35 ILCS 115]</w:t>
      </w:r>
      <w:r w:rsidRPr="00CD4701">
        <w:rPr>
          <w:i/>
          <w:iCs/>
          <w:color w:val="000000"/>
        </w:rPr>
        <w:t xml:space="preserve">.  </w:t>
      </w:r>
      <w:r w:rsidRPr="00CD4701">
        <w:rPr>
          <w:color w:val="000000"/>
        </w:rPr>
        <w:t>[65 ILCS 5/8-11-1.4]  For guidance on the types of tangible personal property taxed at the 1% rate, see 86 Ill. Adm. Code 130.310 and 130.311.</w:t>
      </w:r>
    </w:p>
    <w:p w14:paraId="5CBD2700" w14:textId="77777777" w:rsidR="002F3E23" w:rsidRPr="00CD4701" w:rsidRDefault="002F3E23" w:rsidP="00CA4743">
      <w:pPr>
        <w:rPr>
          <w:color w:val="000000"/>
        </w:rPr>
      </w:pPr>
    </w:p>
    <w:p w14:paraId="6306239C" w14:textId="0165F245" w:rsidR="00CB0FDD" w:rsidRDefault="00CB0FDD" w:rsidP="002F3E23">
      <w:pPr>
        <w:ind w:left="2160" w:hanging="720"/>
        <w:rPr>
          <w:i/>
          <w:iCs/>
          <w:color w:val="000000"/>
        </w:rPr>
      </w:pPr>
      <w:r w:rsidRPr="00CD4701">
        <w:rPr>
          <w:color w:val="000000"/>
        </w:rPr>
        <w:t>5)</w:t>
      </w:r>
      <w:r>
        <w:rPr>
          <w:color w:val="000000"/>
        </w:rPr>
        <w:tab/>
      </w:r>
      <w:r w:rsidRPr="00CD4701">
        <w:rPr>
          <w:i/>
          <w:iCs/>
          <w:color w:val="000000"/>
        </w:rPr>
        <w:t xml:space="preserve">Beginning December 1, 2019, this tax is not imposed on sales of aviation fuel unless the tax revenue is expended for airport-related purposes.  If a municipality does not have an airport-related purpose to which it dedicates aviation fuel tax revenue, then aviation fuel is excluded from the tax.  Each municipality must comply with the certification requirements for airport-related purposes under Section 2-22 of the Retailers' Occupation Tax Act.  </w:t>
      </w:r>
      <w:r w:rsidRPr="00CD4701">
        <w:rPr>
          <w:color w:val="000000"/>
        </w:rPr>
        <w:t xml:space="preserve">[65 ILCS 5/8-11-1.4]  </w:t>
      </w:r>
      <w:r w:rsidRPr="00CD4701">
        <w:rPr>
          <w:i/>
          <w:iCs/>
          <w:color w:val="000000"/>
        </w:rPr>
        <w:t xml:space="preserve">"Aviation fuel" means jet fuel and aviation gasoline.  </w:t>
      </w:r>
      <w:r w:rsidRPr="00CD4701">
        <w:rPr>
          <w:color w:val="000000"/>
        </w:rPr>
        <w:t xml:space="preserve">[35 ILCS 115/9]  </w:t>
      </w:r>
      <w:r w:rsidRPr="00CD4701">
        <w:rPr>
          <w:i/>
          <w:iCs/>
          <w:color w:val="000000"/>
        </w:rPr>
        <w:t xml:space="preserve">"Airport-related purposes" has the meaning ascribed in Section 6z-20.2 of the State Finance Act </w:t>
      </w:r>
      <w:r w:rsidRPr="00CD4701">
        <w:rPr>
          <w:color w:val="000000"/>
        </w:rPr>
        <w:t>[30 ILCS 105]</w:t>
      </w:r>
      <w:r w:rsidRPr="00CD4701">
        <w:rPr>
          <w:i/>
          <w:iCs/>
          <w:color w:val="000000"/>
        </w:rPr>
        <w:t xml:space="preserve">.  This exclusion for aviation fuel only applies for so long the revenue </w:t>
      </w:r>
      <w:r w:rsidRPr="00CD4701">
        <w:rPr>
          <w:i/>
          <w:iCs/>
          <w:color w:val="000000"/>
        </w:rPr>
        <w:lastRenderedPageBreak/>
        <w:t xml:space="preserve">use requirements of 49 U.S.C. 47107(b) and 49 U.S.C. 47133 are binding on the municipality. </w:t>
      </w:r>
    </w:p>
    <w:p w14:paraId="3F0BE050" w14:textId="77777777" w:rsidR="002F3E23" w:rsidRPr="00CD4701" w:rsidRDefault="002F3E23" w:rsidP="00CA4743">
      <w:pPr>
        <w:rPr>
          <w:i/>
          <w:iCs/>
          <w:color w:val="000000"/>
        </w:rPr>
      </w:pPr>
    </w:p>
    <w:p w14:paraId="7D910A3C" w14:textId="280D3716" w:rsidR="00CB0FDD" w:rsidRPr="00CD4701" w:rsidRDefault="00CB0FDD" w:rsidP="002F3E23">
      <w:pPr>
        <w:ind w:left="2160" w:hanging="720"/>
        <w:rPr>
          <w:color w:val="000000"/>
        </w:rPr>
      </w:pPr>
      <w:r w:rsidRPr="00CD4701">
        <w:rPr>
          <w:color w:val="000000"/>
        </w:rPr>
        <w:t>6)</w:t>
      </w:r>
      <w:r>
        <w:rPr>
          <w:color w:val="000000"/>
        </w:rPr>
        <w:tab/>
      </w:r>
      <w:r w:rsidRPr="00CD4701">
        <w:rPr>
          <w:i/>
          <w:iCs/>
          <w:color w:val="000000"/>
        </w:rPr>
        <w:t xml:space="preserve">The tax imposed by a municipality pursuant to </w:t>
      </w:r>
      <w:r w:rsidRPr="00F57A6E">
        <w:rPr>
          <w:color w:val="000000"/>
        </w:rPr>
        <w:t>this Section</w:t>
      </w:r>
      <w:r w:rsidRPr="00CD4701">
        <w:rPr>
          <w:i/>
          <w:iCs/>
          <w:color w:val="000000"/>
        </w:rPr>
        <w:t xml:space="preserve"> and all civil penalties that may be assessed as an incident thereof shall be collected and enforced by the Department of Revenue.  </w:t>
      </w:r>
      <w:r w:rsidRPr="00CD4701">
        <w:rPr>
          <w:color w:val="000000"/>
        </w:rPr>
        <w:t>[65 ILCS 5/8-11-1.4]</w:t>
      </w:r>
    </w:p>
    <w:p w14:paraId="40429596" w14:textId="77777777" w:rsidR="00CB0FDD" w:rsidRDefault="00CB0FDD" w:rsidP="00CA4743">
      <w:pPr>
        <w:widowControl w:val="0"/>
        <w:autoSpaceDE w:val="0"/>
        <w:autoSpaceDN w:val="0"/>
        <w:adjustRightInd w:val="0"/>
      </w:pPr>
    </w:p>
    <w:p w14:paraId="31CD59EB" w14:textId="77777777" w:rsidR="00F74CD6" w:rsidRDefault="00F74CD6" w:rsidP="00F74C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Passing on the Tax </w:t>
      </w:r>
    </w:p>
    <w:p w14:paraId="2DFF69CF" w14:textId="05B9703E" w:rsidR="00F74CD6" w:rsidRDefault="00F74CD6" w:rsidP="003F4A1C">
      <w:pPr>
        <w:widowControl w:val="0"/>
        <w:autoSpaceDE w:val="0"/>
        <w:autoSpaceDN w:val="0"/>
        <w:adjustRightInd w:val="0"/>
        <w:ind w:left="1440"/>
      </w:pPr>
      <w:r>
        <w:t xml:space="preserve">The legal incidence of the Non-Home Rule Municipal Service Occupation Tax is on the serviceman.  Nevertheless, the General Assembly has authorized </w:t>
      </w:r>
      <w:r w:rsidR="00CB0FDD" w:rsidRPr="00CD4701">
        <w:rPr>
          <w:i/>
          <w:iCs/>
          <w:color w:val="000000"/>
        </w:rPr>
        <w:t xml:space="preserve">persons subject to </w:t>
      </w:r>
      <w:r w:rsidR="00CB0FDD" w:rsidRPr="00CD4701">
        <w:rPr>
          <w:color w:val="000000"/>
        </w:rPr>
        <w:t xml:space="preserve">this tax to </w:t>
      </w:r>
      <w:r w:rsidR="00CB0FDD" w:rsidRPr="00CD4701">
        <w:rPr>
          <w:i/>
          <w:iCs/>
          <w:color w:val="000000"/>
        </w:rPr>
        <w:t xml:space="preserve">reimburse themselves for their serviceman's tax liability by separately stating such tax as an additional charge, which charge may be stated in combination, in a single amount, with State tax which servicemen are authorized to collect under the Service Use Tax Act </w:t>
      </w:r>
      <w:r w:rsidR="00CB0FDD" w:rsidRPr="00CD4701">
        <w:rPr>
          <w:color w:val="000000"/>
        </w:rPr>
        <w:t>[35 ILCS 110]</w:t>
      </w:r>
      <w:r w:rsidR="00CB0FDD" w:rsidRPr="00CD4701">
        <w:rPr>
          <w:i/>
          <w:iCs/>
          <w:color w:val="000000"/>
        </w:rPr>
        <w:t xml:space="preserve">, pursuant to such bracket schedules the Department </w:t>
      </w:r>
      <w:r w:rsidR="00CB0FDD" w:rsidRPr="00CD4701">
        <w:rPr>
          <w:color w:val="000000"/>
        </w:rPr>
        <w:t>has prescribed</w:t>
      </w:r>
      <w:r w:rsidR="00CB0FDD" w:rsidRPr="00CD4701">
        <w:rPr>
          <w:i/>
          <w:iCs/>
          <w:color w:val="000000"/>
        </w:rPr>
        <w:t xml:space="preserve">.  </w:t>
      </w:r>
      <w:r w:rsidR="00CB0FDD" w:rsidRPr="00CD4701">
        <w:rPr>
          <w:color w:val="000000"/>
        </w:rPr>
        <w:t>[65 ILCS 5/8-11-1.4]</w:t>
      </w:r>
      <w:r>
        <w:t xml:space="preserve"> (</w:t>
      </w:r>
      <w:r w:rsidR="00CB0FDD">
        <w:t>See</w:t>
      </w:r>
      <w:r>
        <w:t xml:space="preserve"> 86 Ill. Adm. Code 150.Table A). </w:t>
      </w:r>
    </w:p>
    <w:p w14:paraId="3A8AF115" w14:textId="77777777" w:rsidR="00323707" w:rsidRDefault="00323707" w:rsidP="00CA4743">
      <w:pPr>
        <w:widowControl w:val="0"/>
        <w:autoSpaceDE w:val="0"/>
        <w:autoSpaceDN w:val="0"/>
        <w:adjustRightInd w:val="0"/>
      </w:pPr>
    </w:p>
    <w:p w14:paraId="7F4F8605" w14:textId="77777777" w:rsidR="00F74CD6" w:rsidRDefault="00F74CD6" w:rsidP="00F74C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Exclusion from "</w:t>
      </w:r>
      <w:r w:rsidR="00771B35">
        <w:t>Selling</w:t>
      </w:r>
      <w:r>
        <w:t xml:space="preserve"> Price" </w:t>
      </w:r>
    </w:p>
    <w:p w14:paraId="28D57464" w14:textId="1F6417B7" w:rsidR="00F74CD6" w:rsidRDefault="00F74CD6" w:rsidP="003F4A1C">
      <w:pPr>
        <w:widowControl w:val="0"/>
        <w:autoSpaceDE w:val="0"/>
        <w:autoSpaceDN w:val="0"/>
        <w:adjustRightInd w:val="0"/>
        <w:ind w:left="1440"/>
      </w:pPr>
      <w:r>
        <w:t xml:space="preserve">Any amount added by a serviceman to the selling price of tangible personal property as an incident to service because of a Non-Home Rule Municipal Service Occupation Tax, the Service Occupation Tax, the </w:t>
      </w:r>
      <w:r w:rsidR="00CB0FDD">
        <w:t>Service</w:t>
      </w:r>
      <w:r>
        <w:t xml:space="preserve"> Use Tax, </w:t>
      </w:r>
      <w:r w:rsidR="00CB0FDD" w:rsidRPr="00CD4701">
        <w:rPr>
          <w:color w:val="000000"/>
        </w:rPr>
        <w:t>or any other local occupation tax administered by the Department</w:t>
      </w:r>
      <w:r>
        <w:t xml:space="preserve">, shall not be regarded as a part of the selling price that is subject to </w:t>
      </w:r>
      <w:r w:rsidR="00CB0FDD">
        <w:t>such</w:t>
      </w:r>
      <w:r>
        <w:t xml:space="preserve"> Non-Home Rule Municipal Service Occupation Tax. </w:t>
      </w:r>
    </w:p>
    <w:p w14:paraId="1FDEDC7F" w14:textId="77777777" w:rsidR="00771B35" w:rsidRDefault="00771B35" w:rsidP="00CA4743">
      <w:pPr>
        <w:widowControl w:val="0"/>
        <w:autoSpaceDE w:val="0"/>
        <w:autoSpaceDN w:val="0"/>
        <w:adjustRightInd w:val="0"/>
      </w:pPr>
    </w:p>
    <w:p w14:paraId="43BDC882" w14:textId="277E31EF" w:rsidR="00771B35" w:rsidRPr="00D55B37" w:rsidRDefault="00CB0FDD">
      <w:pPr>
        <w:pStyle w:val="JCARSourceNote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1D0FD1">
        <w:t>3312</w:t>
      </w:r>
      <w:r w:rsidRPr="004E27CF">
        <w:t xml:space="preserve">, effective </w:t>
      </w:r>
      <w:r w:rsidR="001D0FD1">
        <w:t>February 26, 2025</w:t>
      </w:r>
      <w:r w:rsidRPr="004E27CF">
        <w:t>)</w:t>
      </w:r>
    </w:p>
    <w:sectPr w:rsidR="00771B35" w:rsidRPr="00D55B37" w:rsidSect="00F74C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4CD6"/>
    <w:rsid w:val="001852D2"/>
    <w:rsid w:val="00193056"/>
    <w:rsid w:val="001D0FD1"/>
    <w:rsid w:val="002F3E23"/>
    <w:rsid w:val="00323707"/>
    <w:rsid w:val="003F4A1C"/>
    <w:rsid w:val="005478F1"/>
    <w:rsid w:val="005546CE"/>
    <w:rsid w:val="005C3366"/>
    <w:rsid w:val="00757310"/>
    <w:rsid w:val="00771B35"/>
    <w:rsid w:val="007838D4"/>
    <w:rsid w:val="00850D45"/>
    <w:rsid w:val="008D5996"/>
    <w:rsid w:val="009A0C88"/>
    <w:rsid w:val="00A85EE1"/>
    <w:rsid w:val="00AF7389"/>
    <w:rsid w:val="00B44C8B"/>
    <w:rsid w:val="00BE0995"/>
    <w:rsid w:val="00C96F88"/>
    <w:rsid w:val="00CA4743"/>
    <w:rsid w:val="00CB0FDD"/>
    <w:rsid w:val="00D94403"/>
    <w:rsid w:val="00E10135"/>
    <w:rsid w:val="00E24BB1"/>
    <w:rsid w:val="00E82491"/>
    <w:rsid w:val="00E874BA"/>
    <w:rsid w:val="00F7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5EA625"/>
  <w15:docId w15:val="{5CC909E7-9823-4D5D-9EE2-106BE4FA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D5996"/>
    <w:pPr>
      <w:ind w:left="720" w:hanging="360"/>
    </w:pPr>
  </w:style>
  <w:style w:type="paragraph" w:styleId="BodyText">
    <w:name w:val="Body Text"/>
    <w:basedOn w:val="Normal"/>
    <w:rsid w:val="008D5996"/>
    <w:pPr>
      <w:spacing w:after="120"/>
    </w:pPr>
  </w:style>
  <w:style w:type="paragraph" w:styleId="BodyTextIndent">
    <w:name w:val="Body Text Indent"/>
    <w:basedOn w:val="Normal"/>
    <w:rsid w:val="008D5996"/>
    <w:pPr>
      <w:spacing w:after="120"/>
      <w:ind w:left="360"/>
    </w:pPr>
  </w:style>
  <w:style w:type="paragraph" w:customStyle="1" w:styleId="JCARSourceNote">
    <w:name w:val="JCAR Source Note"/>
    <w:basedOn w:val="Normal"/>
    <w:rsid w:val="00771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694</vt:lpstr>
    </vt:vector>
  </TitlesOfParts>
  <Company>State of Illinois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694</dc:title>
  <dc:subject/>
  <dc:creator>Illinois General Assembly</dc:creator>
  <cp:keywords/>
  <dc:description/>
  <cp:lastModifiedBy>Shipley, Melissa A.</cp:lastModifiedBy>
  <cp:revision>4</cp:revision>
  <dcterms:created xsi:type="dcterms:W3CDTF">2025-02-11T14:55:00Z</dcterms:created>
  <dcterms:modified xsi:type="dcterms:W3CDTF">2025-03-14T14:59:00Z</dcterms:modified>
</cp:coreProperties>
</file>