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B94937" w:rsidRDefault="000174EB" w:rsidP="00B94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8DE" w:rsidRDefault="003448DE" w:rsidP="00B94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937">
        <w:rPr>
          <w:rFonts w:ascii="Times New Roman" w:hAnsi="Times New Roman" w:cs="Times New Roman"/>
          <w:b/>
          <w:sz w:val="24"/>
          <w:szCs w:val="24"/>
        </w:rPr>
        <w:t>Section 423.170  Cannabis Retailers; Purchase and Possession of Cannabis</w:t>
      </w:r>
    </w:p>
    <w:p w:rsidR="00B94937" w:rsidRPr="00B94937" w:rsidRDefault="00B94937" w:rsidP="00B94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8DE" w:rsidRPr="00B94937" w:rsidRDefault="003448DE" w:rsidP="00B94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937">
        <w:rPr>
          <w:rFonts w:ascii="Times New Roman" w:hAnsi="Times New Roman" w:cs="Times New Roman"/>
          <w:i/>
          <w:sz w:val="24"/>
          <w:szCs w:val="24"/>
        </w:rPr>
        <w:t>Cannabis retailers shall purchase cannabis for resale only from cannabis business establishments</w:t>
      </w:r>
      <w:r w:rsidR="00E2673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94937">
        <w:rPr>
          <w:rFonts w:ascii="Times New Roman" w:hAnsi="Times New Roman" w:cs="Times New Roman"/>
          <w:sz w:val="24"/>
          <w:szCs w:val="24"/>
        </w:rPr>
        <w:t xml:space="preserve"> [410 ILCS 705/65-45]</w:t>
      </w:r>
      <w:bookmarkStart w:id="0" w:name="_GoBack"/>
      <w:bookmarkEnd w:id="0"/>
    </w:p>
    <w:sectPr w:rsidR="003448DE" w:rsidRPr="00B949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02" w:rsidRDefault="00B41402">
      <w:r>
        <w:separator/>
      </w:r>
    </w:p>
  </w:endnote>
  <w:endnote w:type="continuationSeparator" w:id="0">
    <w:p w:rsidR="00B41402" w:rsidRDefault="00B4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02" w:rsidRDefault="00B41402">
      <w:r>
        <w:separator/>
      </w:r>
    </w:p>
  </w:footnote>
  <w:footnote w:type="continuationSeparator" w:id="0">
    <w:p w:rsidR="00B41402" w:rsidRDefault="00B41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8DE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402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937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730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4A3EF-E93F-4C56-8103-CBE6BD0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8D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171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2020-01-30T22:07:00Z</dcterms:created>
  <dcterms:modified xsi:type="dcterms:W3CDTF">2020-02-04T20:35:00Z</dcterms:modified>
</cp:coreProperties>
</file>