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CE" w:rsidRDefault="005D1DCE" w:rsidP="005D1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DCE" w:rsidRDefault="005D1DCE" w:rsidP="005D1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210.125  Denial by Lapse of Time</w:t>
      </w:r>
      <w:r>
        <w:t xml:space="preserve"> </w:t>
      </w:r>
    </w:p>
    <w:p w:rsidR="005D1DCE" w:rsidRDefault="005D1DCE" w:rsidP="005D1DCE">
      <w:pPr>
        <w:widowControl w:val="0"/>
        <w:autoSpaceDE w:val="0"/>
        <w:autoSpaceDN w:val="0"/>
        <w:adjustRightInd w:val="0"/>
      </w:pPr>
    </w:p>
    <w:p w:rsidR="005D1DCE" w:rsidRDefault="005D1DCE" w:rsidP="005D1DCE">
      <w:pPr>
        <w:widowControl w:val="0"/>
        <w:autoSpaceDE w:val="0"/>
        <w:autoSpaceDN w:val="0"/>
        <w:adjustRightInd w:val="0"/>
      </w:pPr>
      <w:r>
        <w:t xml:space="preserve">If no action is taken by the Board and written notice thereof mailed within 365 days after the date of filing, the petition is deemed denied. </w:t>
      </w:r>
    </w:p>
    <w:p w:rsidR="005D1DCE" w:rsidRDefault="005D1DCE" w:rsidP="005D1DCE">
      <w:pPr>
        <w:widowControl w:val="0"/>
        <w:autoSpaceDE w:val="0"/>
        <w:autoSpaceDN w:val="0"/>
        <w:adjustRightInd w:val="0"/>
      </w:pPr>
    </w:p>
    <w:p w:rsidR="005D1DCE" w:rsidRDefault="005D1DCE" w:rsidP="005D1D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8860, effective June 2, 1993) </w:t>
      </w:r>
    </w:p>
    <w:sectPr w:rsidR="005D1DCE" w:rsidSect="005D1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DCE"/>
    <w:rsid w:val="004E1345"/>
    <w:rsid w:val="005C3366"/>
    <w:rsid w:val="005D1DCE"/>
    <w:rsid w:val="008B177A"/>
    <w:rsid w:val="00E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